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8A6" w:rsidRDefault="00A05404" w:rsidP="001342FF">
      <w:pPr>
        <w:jc w:val="both"/>
        <w:rPr>
          <w:lang w:val="ro-RO"/>
        </w:rPr>
      </w:pPr>
      <w:r>
        <w:rPr>
          <w:i/>
          <w:lang w:val="ro-RO"/>
        </w:rPr>
        <w:t xml:space="preserve">Tradus din limba engleză în limba română </w:t>
      </w:r>
    </w:p>
    <w:p w:rsidR="00E42BC3" w:rsidRDefault="00E42BC3" w:rsidP="00A05404">
      <w:pPr>
        <w:jc w:val="right"/>
        <w:rPr>
          <w:b/>
          <w:sz w:val="24"/>
          <w:szCs w:val="24"/>
          <w:lang w:val="ro-RO"/>
        </w:rPr>
      </w:pPr>
      <w:r>
        <w:rPr>
          <w:noProof/>
          <w:lang w:val="ru-RU" w:eastAsia="ru-RU"/>
        </w:rPr>
        <w:drawing>
          <wp:inline distT="0" distB="0" distL="0" distR="0" wp14:anchorId="5592312A" wp14:editId="69094DA3">
            <wp:extent cx="1281448" cy="882203"/>
            <wp:effectExtent l="0" t="0" r="0" b="0"/>
            <wp:docPr id="1" name="Imagine 1" descr="http://www.coe.int/documents/5492562/7044393/COE-Logo-Quadri.png/ee7b1fc6-055b-490b-a59b-a65969e440a2?t=137122281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e.int/documents/5492562/7044393/COE-Logo-Quadri.png/ee7b1fc6-055b-490b-a59b-a65969e440a2?t=13712228190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1496" cy="882236"/>
                    </a:xfrm>
                    <a:prstGeom prst="rect">
                      <a:avLst/>
                    </a:prstGeom>
                    <a:noFill/>
                    <a:ln>
                      <a:noFill/>
                    </a:ln>
                  </pic:spPr>
                </pic:pic>
              </a:graphicData>
            </a:graphic>
          </wp:inline>
        </w:drawing>
      </w:r>
    </w:p>
    <w:p w:rsidR="00A05404" w:rsidRPr="005877C4" w:rsidRDefault="00A05404" w:rsidP="00A05404">
      <w:pPr>
        <w:jc w:val="right"/>
        <w:rPr>
          <w:b/>
          <w:i/>
          <w:lang w:val="ro-RO"/>
        </w:rPr>
      </w:pPr>
      <w:r w:rsidRPr="005877C4">
        <w:rPr>
          <w:b/>
          <w:i/>
          <w:lang w:val="ro-RO"/>
        </w:rPr>
        <w:t xml:space="preserve">Seria Tratatelor Consiliului Europei – Nr. [208] </w:t>
      </w:r>
    </w:p>
    <w:p w:rsidR="00A05404" w:rsidRPr="005877C4" w:rsidRDefault="00A05404" w:rsidP="00A05404">
      <w:pPr>
        <w:jc w:val="both"/>
        <w:rPr>
          <w:b/>
          <w:lang w:val="ro-RO"/>
        </w:rPr>
      </w:pPr>
      <w:r w:rsidRPr="005877C4">
        <w:rPr>
          <w:b/>
          <w:lang w:val="ro-RO"/>
        </w:rPr>
        <w:t xml:space="preserve">Convenția Consiliului Europei privind abordarea integrată a siguranței, securității și </w:t>
      </w:r>
      <w:r w:rsidR="008E623A" w:rsidRPr="005877C4">
        <w:rPr>
          <w:b/>
          <w:lang w:val="ro-RO"/>
        </w:rPr>
        <w:t xml:space="preserve">deservirii în timpul meciurilor de fotbal și a altor evenimente sportive </w:t>
      </w:r>
    </w:p>
    <w:p w:rsidR="008E623A" w:rsidRDefault="008E623A" w:rsidP="00A05404">
      <w:pPr>
        <w:jc w:val="both"/>
        <w:rPr>
          <w:lang w:val="ro-RO"/>
        </w:rPr>
      </w:pPr>
      <w:r>
        <w:rPr>
          <w:lang w:val="ro-RO"/>
        </w:rPr>
        <w:t>[Saint-Denis, 3.VII.2016]</w:t>
      </w:r>
    </w:p>
    <w:p w:rsidR="008E623A" w:rsidRPr="005877C4" w:rsidRDefault="008E623A" w:rsidP="00A05404">
      <w:pPr>
        <w:jc w:val="both"/>
        <w:rPr>
          <w:b/>
          <w:lang w:val="ro-RO"/>
        </w:rPr>
      </w:pPr>
      <w:r w:rsidRPr="005877C4">
        <w:rPr>
          <w:b/>
          <w:lang w:val="ro-RO"/>
        </w:rPr>
        <w:t xml:space="preserve">Preambul </w:t>
      </w:r>
    </w:p>
    <w:p w:rsidR="008E623A" w:rsidRDefault="008E623A" w:rsidP="00A05404">
      <w:pPr>
        <w:jc w:val="both"/>
        <w:rPr>
          <w:lang w:val="ro-RO"/>
        </w:rPr>
      </w:pPr>
      <w:r>
        <w:rPr>
          <w:lang w:val="ro-RO"/>
        </w:rPr>
        <w:t xml:space="preserve">Statele membre ale Consiliului Europei și alte State Părți ale Convenției </w:t>
      </w:r>
      <w:r w:rsidR="005877C4">
        <w:rPr>
          <w:lang w:val="ro-RO"/>
        </w:rPr>
        <w:t xml:space="preserve">Culturale </w:t>
      </w:r>
      <w:r>
        <w:rPr>
          <w:lang w:val="ro-RO"/>
        </w:rPr>
        <w:t xml:space="preserve">Europene (ETS Nr. 18), semnatare ale prezentei Convenții, </w:t>
      </w:r>
    </w:p>
    <w:p w:rsidR="008E623A" w:rsidRDefault="008E623A" w:rsidP="00A05404">
      <w:pPr>
        <w:jc w:val="both"/>
        <w:rPr>
          <w:lang w:val="ro-RO"/>
        </w:rPr>
      </w:pPr>
      <w:r>
        <w:rPr>
          <w:lang w:val="ro-RO"/>
        </w:rPr>
        <w:t xml:space="preserve">Luând în considerare faptul că scopul Consiliului Europei este de a obține o </w:t>
      </w:r>
      <w:r w:rsidR="005522A4">
        <w:rPr>
          <w:lang w:val="ro-RO"/>
        </w:rPr>
        <w:t xml:space="preserve">unitate </w:t>
      </w:r>
      <w:r>
        <w:rPr>
          <w:lang w:val="ro-RO"/>
        </w:rPr>
        <w:t xml:space="preserve">mai mare între membrii săi; </w:t>
      </w:r>
    </w:p>
    <w:p w:rsidR="008E623A" w:rsidRDefault="00667FFA" w:rsidP="00A05404">
      <w:pPr>
        <w:jc w:val="both"/>
        <w:rPr>
          <w:lang w:val="ro-RO"/>
        </w:rPr>
      </w:pPr>
      <w:r>
        <w:rPr>
          <w:lang w:val="ro-RO"/>
        </w:rPr>
        <w:t>Preocupat</w:t>
      </w:r>
      <w:r w:rsidR="008E623A">
        <w:rPr>
          <w:lang w:val="ro-RO"/>
        </w:rPr>
        <w:t xml:space="preserve"> de dreptul la integritate fizică și așteptarea legitimă</w:t>
      </w:r>
      <w:r w:rsidR="005877C4">
        <w:rPr>
          <w:lang w:val="ro-RO"/>
        </w:rPr>
        <w:t xml:space="preserve"> a persoanelor de a merge la</w:t>
      </w:r>
      <w:r w:rsidR="0000177C">
        <w:rPr>
          <w:lang w:val="ro-RO"/>
        </w:rPr>
        <w:t xml:space="preserve"> meciuri de fotbal și alte evenimente sportive fără a avea frică de violență, dezordine publică sau alte activități cr</w:t>
      </w:r>
      <w:r w:rsidR="0000177C">
        <w:rPr>
          <w:lang w:val="ro-RO"/>
        </w:rPr>
        <w:t>i</w:t>
      </w:r>
      <w:r w:rsidR="0000177C">
        <w:rPr>
          <w:lang w:val="ro-RO"/>
        </w:rPr>
        <w:t xml:space="preserve">minale; </w:t>
      </w:r>
    </w:p>
    <w:p w:rsidR="0000177C" w:rsidRDefault="00667FFA" w:rsidP="00A05404">
      <w:pPr>
        <w:jc w:val="both"/>
        <w:rPr>
          <w:lang w:val="ro-RO"/>
        </w:rPr>
      </w:pPr>
      <w:r>
        <w:rPr>
          <w:lang w:val="ro-RO"/>
        </w:rPr>
        <w:t>Preocupat</w:t>
      </w:r>
      <w:r w:rsidR="0000177C">
        <w:rPr>
          <w:lang w:val="ro-RO"/>
        </w:rPr>
        <w:t xml:space="preserve"> ca meciurile de fotbal și alte evenimente sportive să fie organizate în</w:t>
      </w:r>
      <w:r w:rsidR="005877C4">
        <w:rPr>
          <w:lang w:val="ro-RO"/>
        </w:rPr>
        <w:t>tr-un mod agreabil și plăcut</w:t>
      </w:r>
      <w:r w:rsidR="0000177C">
        <w:rPr>
          <w:lang w:val="ro-RO"/>
        </w:rPr>
        <w:t xml:space="preserve"> pentru toți cetățenii</w:t>
      </w:r>
      <w:r w:rsidR="00AF5C2A">
        <w:rPr>
          <w:lang w:val="ro-RO"/>
        </w:rPr>
        <w:t xml:space="preserve"> şi</w:t>
      </w:r>
      <w:r w:rsidR="0000177C">
        <w:rPr>
          <w:lang w:val="ro-RO"/>
        </w:rPr>
        <w:t xml:space="preserve"> recunoscând faptul că crearea unei ambianțe binevoitoare poate avea un impact pozitiv și important asupra siguranței și securității în timpul unor astfel de evenimente; </w:t>
      </w:r>
    </w:p>
    <w:p w:rsidR="00EF6C19" w:rsidRDefault="00667FFA" w:rsidP="00A05404">
      <w:pPr>
        <w:jc w:val="both"/>
        <w:rPr>
          <w:lang w:val="ro-RO"/>
        </w:rPr>
      </w:pPr>
      <w:r>
        <w:rPr>
          <w:lang w:val="ro-RO"/>
        </w:rPr>
        <w:t>Preocupat</w:t>
      </w:r>
      <w:r w:rsidR="00EF6C19">
        <w:rPr>
          <w:lang w:val="ro-RO"/>
        </w:rPr>
        <w:t xml:space="preserve"> de necesitatea de a promova incluziunea tuturor părților interesate în asigurarea unui mediu sigur în timpul meciurilor de fotbal și </w:t>
      </w:r>
      <w:r w:rsidR="005877C4">
        <w:rPr>
          <w:lang w:val="ro-RO"/>
        </w:rPr>
        <w:t>a altor</w:t>
      </w:r>
      <w:r w:rsidR="00EF6C19">
        <w:rPr>
          <w:lang w:val="ro-RO"/>
        </w:rPr>
        <w:t xml:space="preserve"> evenimente sportive; </w:t>
      </w:r>
    </w:p>
    <w:p w:rsidR="00EF6C19" w:rsidRDefault="00667FFA" w:rsidP="00A05404">
      <w:pPr>
        <w:jc w:val="both"/>
        <w:rPr>
          <w:lang w:val="ro-RO"/>
        </w:rPr>
      </w:pPr>
      <w:r>
        <w:rPr>
          <w:lang w:val="ro-RO"/>
        </w:rPr>
        <w:t>Preocupat</w:t>
      </w:r>
      <w:r w:rsidR="00EF6C19">
        <w:rPr>
          <w:lang w:val="ro-RO"/>
        </w:rPr>
        <w:t xml:space="preserve"> de necesitatea de a menține principiul sta</w:t>
      </w:r>
      <w:r w:rsidR="005877C4">
        <w:rPr>
          <w:lang w:val="ro-RO"/>
        </w:rPr>
        <w:t>tutului de drept pe și în împrejurimile</w:t>
      </w:r>
      <w:r w:rsidR="00EF6C19">
        <w:rPr>
          <w:lang w:val="ro-RO"/>
        </w:rPr>
        <w:t xml:space="preserve"> stadioanelor de fotbal și pe alte terenuri sport</w:t>
      </w:r>
      <w:r w:rsidR="00AF5C2A">
        <w:rPr>
          <w:lang w:val="ro-RO"/>
        </w:rPr>
        <w:t>ive</w:t>
      </w:r>
      <w:r w:rsidR="00EF6C19">
        <w:rPr>
          <w:lang w:val="ro-RO"/>
        </w:rPr>
        <w:t xml:space="preserve">, pe căi de tranzit de la sau spre stadioane și în alte zone frecventate de mii de spectatori; </w:t>
      </w:r>
    </w:p>
    <w:p w:rsidR="001F2263" w:rsidRDefault="00EF6C19" w:rsidP="00A05404">
      <w:pPr>
        <w:jc w:val="both"/>
        <w:rPr>
          <w:lang w:val="ro-RO"/>
        </w:rPr>
      </w:pPr>
      <w:r>
        <w:rPr>
          <w:lang w:val="ro-RO"/>
        </w:rPr>
        <w:t>Admițând faptul că sportul, cât și toate agențiile și părțile implicate în organizarea și gestionarea meci</w:t>
      </w:r>
      <w:r>
        <w:rPr>
          <w:lang w:val="ro-RO"/>
        </w:rPr>
        <w:t>u</w:t>
      </w:r>
      <w:r>
        <w:rPr>
          <w:lang w:val="ro-RO"/>
        </w:rPr>
        <w:t>rilor de fotbal</w:t>
      </w:r>
      <w:r w:rsidR="001F2263">
        <w:rPr>
          <w:lang w:val="ro-RO"/>
        </w:rPr>
        <w:t xml:space="preserve"> sau alte evenime</w:t>
      </w:r>
      <w:r w:rsidR="00C62934">
        <w:rPr>
          <w:lang w:val="ro-RO"/>
        </w:rPr>
        <w:t>nte sportive, trebuie să sprijine</w:t>
      </w:r>
      <w:r w:rsidR="001F2263">
        <w:rPr>
          <w:lang w:val="ro-RO"/>
        </w:rPr>
        <w:t xml:space="preserve"> valori</w:t>
      </w:r>
      <w:r w:rsidR="006934BA">
        <w:rPr>
          <w:lang w:val="ro-RO"/>
        </w:rPr>
        <w:t>le</w:t>
      </w:r>
      <w:r w:rsidR="001F2263">
        <w:rPr>
          <w:lang w:val="ro-RO"/>
        </w:rPr>
        <w:t xml:space="preserve"> de bază ale Consiliului Europei cum ar fi coeziunea socială, toleranța, respectul și nediscriminarea;</w:t>
      </w:r>
    </w:p>
    <w:p w:rsidR="00EF6C19" w:rsidRDefault="001F2263" w:rsidP="00A05404">
      <w:pPr>
        <w:jc w:val="both"/>
        <w:rPr>
          <w:lang w:val="ro-RO"/>
        </w:rPr>
      </w:pPr>
      <w:r>
        <w:rPr>
          <w:lang w:val="ro-RO"/>
        </w:rPr>
        <w:t>Admițând diferențele Statelor în ceea ce privește circumstanțele istorice, culturale, juridice și constituț</w:t>
      </w:r>
      <w:r>
        <w:rPr>
          <w:lang w:val="ro-RO"/>
        </w:rPr>
        <w:t>i</w:t>
      </w:r>
      <w:r>
        <w:rPr>
          <w:lang w:val="ro-RO"/>
        </w:rPr>
        <w:t xml:space="preserve">onale, cât și caracterul și seriozitatea problemelor de siguranță și securitate legate de meciurile de fotbal și alte evenimente sportive;  </w:t>
      </w:r>
    </w:p>
    <w:p w:rsidR="001F2263" w:rsidRDefault="001F2263" w:rsidP="00A05404">
      <w:pPr>
        <w:jc w:val="both"/>
        <w:rPr>
          <w:lang w:val="ro-RO"/>
        </w:rPr>
      </w:pPr>
      <w:r>
        <w:rPr>
          <w:lang w:val="ro-RO"/>
        </w:rPr>
        <w:t xml:space="preserve">Recunoscând necesitatea de a lua în considerare pe deplin legislația națională și internațională ce țin de chestiuni privind protecția datelor, reabilitarea infractorilor și drepturile omului; </w:t>
      </w:r>
    </w:p>
    <w:p w:rsidR="001F2263" w:rsidRDefault="001F2263" w:rsidP="00A05404">
      <w:pPr>
        <w:jc w:val="both"/>
        <w:rPr>
          <w:lang w:val="ro-RO"/>
        </w:rPr>
      </w:pPr>
      <w:r>
        <w:rPr>
          <w:lang w:val="ro-RO"/>
        </w:rPr>
        <w:t xml:space="preserve">Admițând faptul că o gamă largă de agenții publice și private și alte părți interesate, inclusiv spectatorii, au </w:t>
      </w:r>
      <w:r w:rsidR="00017B8A">
        <w:rPr>
          <w:lang w:val="ro-RO"/>
        </w:rPr>
        <w:t xml:space="preserve">un obiectiv comun în ceea ce privește organizarea </w:t>
      </w:r>
      <w:r>
        <w:rPr>
          <w:lang w:val="ro-RO"/>
        </w:rPr>
        <w:t xml:space="preserve">meciurilor de fotbal și </w:t>
      </w:r>
      <w:r w:rsidR="00017B8A">
        <w:rPr>
          <w:lang w:val="ro-RO"/>
        </w:rPr>
        <w:t xml:space="preserve">a </w:t>
      </w:r>
      <w:r>
        <w:rPr>
          <w:lang w:val="ro-RO"/>
        </w:rPr>
        <w:t>alt</w:t>
      </w:r>
      <w:r w:rsidR="00017B8A">
        <w:rPr>
          <w:lang w:val="ro-RO"/>
        </w:rPr>
        <w:t>or</w:t>
      </w:r>
      <w:r>
        <w:rPr>
          <w:lang w:val="ro-RO"/>
        </w:rPr>
        <w:t xml:space="preserve"> evenimente sportive</w:t>
      </w:r>
      <w:r w:rsidR="00017B8A">
        <w:rPr>
          <w:lang w:val="ro-RO"/>
        </w:rPr>
        <w:t xml:space="preserve"> </w:t>
      </w:r>
      <w:r w:rsidR="00DC6224">
        <w:rPr>
          <w:lang w:val="ro-RO"/>
        </w:rPr>
        <w:lastRenderedPageBreak/>
        <w:t>în condiţii de siguranţă</w:t>
      </w:r>
      <w:r w:rsidR="00017B8A">
        <w:rPr>
          <w:lang w:val="ro-RO"/>
        </w:rPr>
        <w:t xml:space="preserve">, </w:t>
      </w:r>
      <w:r w:rsidR="00DC6224">
        <w:rPr>
          <w:lang w:val="ro-RO"/>
        </w:rPr>
        <w:t>securitate</w:t>
      </w:r>
      <w:r w:rsidR="00923B6F">
        <w:rPr>
          <w:lang w:val="ro-RO"/>
        </w:rPr>
        <w:t xml:space="preserve"> și primit</w:t>
      </w:r>
      <w:r w:rsidR="00017B8A">
        <w:rPr>
          <w:lang w:val="ro-RO"/>
        </w:rPr>
        <w:t>o</w:t>
      </w:r>
      <w:r w:rsidR="00DC6224">
        <w:rPr>
          <w:lang w:val="ro-RO"/>
        </w:rPr>
        <w:t>are</w:t>
      </w:r>
      <w:r w:rsidR="00017B8A">
        <w:rPr>
          <w:lang w:val="ro-RO"/>
        </w:rPr>
        <w:t xml:space="preserve"> pentru persoane</w:t>
      </w:r>
      <w:r w:rsidR="00DC6224">
        <w:rPr>
          <w:lang w:val="ro-RO"/>
        </w:rPr>
        <w:t>le fizice</w:t>
      </w:r>
      <w:r w:rsidR="00017B8A">
        <w:rPr>
          <w:lang w:val="ro-RO"/>
        </w:rPr>
        <w:t xml:space="preserve"> și recunoscând că acțiunile lor comune vor cuprinde în mod necesar o serie de măsuri interconectate și suprapuse; </w:t>
      </w:r>
    </w:p>
    <w:p w:rsidR="006F2532" w:rsidRDefault="006F2532" w:rsidP="00A05404">
      <w:pPr>
        <w:jc w:val="both"/>
        <w:rPr>
          <w:lang w:val="ro-RO"/>
        </w:rPr>
      </w:pPr>
      <w:r>
        <w:rPr>
          <w:lang w:val="ro-RO"/>
        </w:rPr>
        <w:t xml:space="preserve">Admițând faptul că </w:t>
      </w:r>
      <w:r w:rsidR="00DC6224">
        <w:rPr>
          <w:lang w:val="ro-RO"/>
        </w:rPr>
        <w:t>caracterul</w:t>
      </w:r>
      <w:r>
        <w:rPr>
          <w:lang w:val="ro-RO"/>
        </w:rPr>
        <w:t xml:space="preserve"> suprapus a</w:t>
      </w:r>
      <w:r w:rsidR="00DC6224">
        <w:rPr>
          <w:lang w:val="ro-RO"/>
        </w:rPr>
        <w:t>l</w:t>
      </w:r>
      <w:r>
        <w:rPr>
          <w:lang w:val="ro-RO"/>
        </w:rPr>
        <w:t xml:space="preserve"> acestor măsuri necesită ca agențiile </w:t>
      </w:r>
      <w:r w:rsidR="00DC6224">
        <w:rPr>
          <w:lang w:val="ro-RO"/>
        </w:rPr>
        <w:t>competente</w:t>
      </w:r>
      <w:r>
        <w:rPr>
          <w:lang w:val="ro-RO"/>
        </w:rPr>
        <w:t xml:space="preserve"> să dezvolte parteneriate locale, naționale și internaționale </w:t>
      </w:r>
      <w:r w:rsidR="00DC6224">
        <w:rPr>
          <w:lang w:val="ro-RO"/>
        </w:rPr>
        <w:t xml:space="preserve">eficiente </w:t>
      </w:r>
      <w:r>
        <w:rPr>
          <w:lang w:val="ro-RO"/>
        </w:rPr>
        <w:t xml:space="preserve">pentru a pregăti și a </w:t>
      </w:r>
      <w:r w:rsidR="00207FA2">
        <w:rPr>
          <w:lang w:val="ro-RO"/>
        </w:rPr>
        <w:t xml:space="preserve">emite o abordare </w:t>
      </w:r>
      <w:proofErr w:type="spellStart"/>
      <w:r w:rsidR="002447BF">
        <w:rPr>
          <w:lang w:val="ro-RO"/>
        </w:rPr>
        <w:t>multi</w:t>
      </w:r>
      <w:r w:rsidR="00DC6224">
        <w:rPr>
          <w:lang w:val="ro-RO"/>
        </w:rPr>
        <w:t>-reprezentativă</w:t>
      </w:r>
      <w:proofErr w:type="spellEnd"/>
      <w:r w:rsidR="00DC6224">
        <w:rPr>
          <w:lang w:val="ro-RO"/>
        </w:rPr>
        <w:t xml:space="preserve"> </w:t>
      </w:r>
      <w:r w:rsidR="00207FA2">
        <w:rPr>
          <w:lang w:val="ro-RO"/>
        </w:rPr>
        <w:t>integrată</w:t>
      </w:r>
      <w:r w:rsidR="002447BF">
        <w:rPr>
          <w:lang w:val="ro-RO"/>
        </w:rPr>
        <w:t xml:space="preserve"> şi</w:t>
      </w:r>
      <w:r w:rsidR="00207FA2">
        <w:rPr>
          <w:lang w:val="ro-RO"/>
        </w:rPr>
        <w:t xml:space="preserve"> balansată privind sigura</w:t>
      </w:r>
      <w:r w:rsidR="00C62934">
        <w:rPr>
          <w:lang w:val="ro-RO"/>
        </w:rPr>
        <w:t>nța, securitatea și deservirea</w:t>
      </w:r>
      <w:r w:rsidR="00207FA2">
        <w:rPr>
          <w:lang w:val="ro-RO"/>
        </w:rPr>
        <w:t xml:space="preserve"> </w:t>
      </w:r>
      <w:r w:rsidR="002447BF">
        <w:rPr>
          <w:lang w:val="ro-RO"/>
        </w:rPr>
        <w:t xml:space="preserve">în timpul </w:t>
      </w:r>
      <w:r w:rsidR="00207FA2">
        <w:rPr>
          <w:lang w:val="ro-RO"/>
        </w:rPr>
        <w:t xml:space="preserve">meciurilor de fotbal și </w:t>
      </w:r>
      <w:r w:rsidR="00813BC0">
        <w:rPr>
          <w:lang w:val="ro-RO"/>
        </w:rPr>
        <w:t>a altor</w:t>
      </w:r>
      <w:r w:rsidR="00207FA2">
        <w:rPr>
          <w:lang w:val="ro-RO"/>
        </w:rPr>
        <w:t xml:space="preserve"> evenimente sportive; </w:t>
      </w:r>
    </w:p>
    <w:p w:rsidR="00207FA2" w:rsidRDefault="00207FA2" w:rsidP="00A05404">
      <w:pPr>
        <w:jc w:val="both"/>
        <w:rPr>
          <w:lang w:val="ro-RO"/>
        </w:rPr>
      </w:pPr>
      <w:r>
        <w:rPr>
          <w:lang w:val="ro-RO"/>
        </w:rPr>
        <w:t>Admițând faptul că evenimentele din afara terenurilor sport</w:t>
      </w:r>
      <w:r w:rsidR="002447BF">
        <w:rPr>
          <w:lang w:val="ro-RO"/>
        </w:rPr>
        <w:t>ive</w:t>
      </w:r>
      <w:r>
        <w:rPr>
          <w:lang w:val="ro-RO"/>
        </w:rPr>
        <w:t xml:space="preserve"> pot avea un impact direct asupra evenimentelor din cadrul stadioanelor și vice-versa; </w:t>
      </w:r>
    </w:p>
    <w:p w:rsidR="0034056E" w:rsidRDefault="00207FA2" w:rsidP="00A05404">
      <w:pPr>
        <w:jc w:val="both"/>
        <w:rPr>
          <w:lang w:val="ro-RO"/>
        </w:rPr>
      </w:pPr>
      <w:r>
        <w:rPr>
          <w:lang w:val="ro-RO"/>
        </w:rPr>
        <w:t>Recun</w:t>
      </w:r>
      <w:r w:rsidR="00923B6F">
        <w:rPr>
          <w:lang w:val="ro-RO"/>
        </w:rPr>
        <w:t>oscând faptul că consultarea părților interesa</w:t>
      </w:r>
      <w:r>
        <w:rPr>
          <w:lang w:val="ro-RO"/>
        </w:rPr>
        <w:t xml:space="preserve">te cheie, în special </w:t>
      </w:r>
      <w:r w:rsidR="00923B6F">
        <w:rPr>
          <w:lang w:val="ro-RO"/>
        </w:rPr>
        <w:t>a suporterilor și comunităților</w:t>
      </w:r>
      <w:r>
        <w:rPr>
          <w:lang w:val="ro-RO"/>
        </w:rPr>
        <w:t xml:space="preserve"> locale, pot ajuta agențiile </w:t>
      </w:r>
      <w:r w:rsidR="002447BF">
        <w:rPr>
          <w:lang w:val="ro-RO"/>
        </w:rPr>
        <w:t>competente</w:t>
      </w:r>
      <w:r>
        <w:rPr>
          <w:lang w:val="ro-RO"/>
        </w:rPr>
        <w:t xml:space="preserve"> să reducă riscurile ce țin de siguranț</w:t>
      </w:r>
      <w:r w:rsidR="006934BA">
        <w:rPr>
          <w:lang w:val="ro-RO"/>
        </w:rPr>
        <w:t>ă</w:t>
      </w:r>
      <w:r>
        <w:rPr>
          <w:lang w:val="ro-RO"/>
        </w:rPr>
        <w:t xml:space="preserve"> și securitate și </w:t>
      </w:r>
      <w:r w:rsidR="006934BA">
        <w:rPr>
          <w:lang w:val="ro-RO"/>
        </w:rPr>
        <w:t>să</w:t>
      </w:r>
      <w:r w:rsidR="0034056E">
        <w:rPr>
          <w:lang w:val="ro-RO"/>
        </w:rPr>
        <w:t xml:space="preserve"> cre</w:t>
      </w:r>
      <w:r w:rsidR="006934BA">
        <w:rPr>
          <w:lang w:val="ro-RO"/>
        </w:rPr>
        <w:t>eze</w:t>
      </w:r>
      <w:r w:rsidR="00813BC0">
        <w:rPr>
          <w:lang w:val="ro-RO"/>
        </w:rPr>
        <w:t xml:space="preserve"> </w:t>
      </w:r>
      <w:r w:rsidR="006934BA">
        <w:rPr>
          <w:lang w:val="ro-RO"/>
        </w:rPr>
        <w:t>o</w:t>
      </w:r>
      <w:r w:rsidR="00813BC0">
        <w:rPr>
          <w:lang w:val="ro-RO"/>
        </w:rPr>
        <w:t xml:space="preserve"> atmosfer</w:t>
      </w:r>
      <w:r w:rsidR="006934BA">
        <w:rPr>
          <w:lang w:val="ro-RO"/>
        </w:rPr>
        <w:t>ă</w:t>
      </w:r>
      <w:r w:rsidR="00813BC0">
        <w:rPr>
          <w:lang w:val="ro-RO"/>
        </w:rPr>
        <w:t xml:space="preserve"> agreabil</w:t>
      </w:r>
      <w:r w:rsidR="006934BA">
        <w:rPr>
          <w:lang w:val="ro-RO"/>
        </w:rPr>
        <w:t>ă</w:t>
      </w:r>
      <w:r w:rsidR="0034056E">
        <w:rPr>
          <w:lang w:val="ro-RO"/>
        </w:rPr>
        <w:t xml:space="preserve"> în cadrul și în afara stadioanelor; </w:t>
      </w:r>
    </w:p>
    <w:p w:rsidR="00207FA2" w:rsidRDefault="00667FFA" w:rsidP="00A05404">
      <w:pPr>
        <w:jc w:val="both"/>
        <w:rPr>
          <w:lang w:val="ro-RO"/>
        </w:rPr>
      </w:pPr>
      <w:r>
        <w:rPr>
          <w:lang w:val="ro-RO"/>
        </w:rPr>
        <w:t xml:space="preserve">Fiind decis să întreprindă acțiuni comune și de cooperare pentru a reduce riscurile legate de siguranță și securitate în timpul meciurilor de fotbal și a altor evenimente sportive pentru a </w:t>
      </w:r>
      <w:r w:rsidR="002447BF">
        <w:rPr>
          <w:lang w:val="ro-RO"/>
        </w:rPr>
        <w:t xml:space="preserve">oferi </w:t>
      </w:r>
      <w:r>
        <w:rPr>
          <w:lang w:val="ro-RO"/>
        </w:rPr>
        <w:t xml:space="preserve">o experiență </w:t>
      </w:r>
      <w:r w:rsidR="002447BF">
        <w:rPr>
          <w:lang w:val="ro-RO"/>
        </w:rPr>
        <w:t xml:space="preserve">plăcută </w:t>
      </w:r>
      <w:r>
        <w:rPr>
          <w:lang w:val="ro-RO"/>
        </w:rPr>
        <w:t xml:space="preserve">pentru spectatori, participanți și comunitățile locale; </w:t>
      </w:r>
    </w:p>
    <w:p w:rsidR="00186FC8" w:rsidRDefault="00186FC8" w:rsidP="00A05404">
      <w:pPr>
        <w:jc w:val="both"/>
        <w:rPr>
          <w:lang w:val="ro-RO"/>
        </w:rPr>
      </w:pPr>
      <w:r>
        <w:rPr>
          <w:lang w:val="ro-RO"/>
        </w:rPr>
        <w:t xml:space="preserve">Elaborând conținutul Convenției Europene privind </w:t>
      </w:r>
      <w:r w:rsidR="00691376">
        <w:rPr>
          <w:lang w:val="ro-RO"/>
        </w:rPr>
        <w:t>V</w:t>
      </w:r>
      <w:r>
        <w:rPr>
          <w:lang w:val="ro-RO"/>
        </w:rPr>
        <w:t xml:space="preserve">iolența </w:t>
      </w:r>
      <w:r w:rsidR="00691376">
        <w:rPr>
          <w:lang w:val="ro-RO"/>
        </w:rPr>
        <w:t xml:space="preserve">şi </w:t>
      </w:r>
      <w:r w:rsidR="002C3039">
        <w:rPr>
          <w:lang w:val="ro-RO"/>
        </w:rPr>
        <w:t>Ieșirile</w:t>
      </w:r>
      <w:r w:rsidR="00691376">
        <w:rPr>
          <w:lang w:val="ro-RO"/>
        </w:rPr>
        <w:t xml:space="preserve"> Necontrolate ale S</w:t>
      </w:r>
      <w:r w:rsidR="002447BF">
        <w:rPr>
          <w:lang w:val="ro-RO"/>
        </w:rPr>
        <w:t>pectatorilor cu ocazia</w:t>
      </w:r>
      <w:r w:rsidR="00691376">
        <w:rPr>
          <w:lang w:val="ro-RO"/>
        </w:rPr>
        <w:t xml:space="preserve"> Manifestărilor Sportive, în special la Meciurile de F</w:t>
      </w:r>
      <w:r w:rsidR="002447BF">
        <w:rPr>
          <w:lang w:val="ro-RO"/>
        </w:rPr>
        <w:t>otbal</w:t>
      </w:r>
      <w:r>
        <w:rPr>
          <w:lang w:val="ro-RO"/>
        </w:rPr>
        <w:t xml:space="preserve"> (ETS Nr. 120), </w:t>
      </w:r>
      <w:r w:rsidR="002447BF">
        <w:rPr>
          <w:lang w:val="ro-RO"/>
        </w:rPr>
        <w:t>deschisă</w:t>
      </w:r>
      <w:r>
        <w:rPr>
          <w:lang w:val="ro-RO"/>
        </w:rPr>
        <w:t xml:space="preserve"> spre semnare la Strasbourg la data de 19 august 1985 (numit</w:t>
      </w:r>
      <w:r w:rsidR="002447BF">
        <w:rPr>
          <w:lang w:val="ro-RO"/>
        </w:rPr>
        <w:t>ă</w:t>
      </w:r>
      <w:r>
        <w:rPr>
          <w:lang w:val="ro-RO"/>
        </w:rPr>
        <w:t xml:space="preserve"> în continuare ”Convenția Nr. 120”); </w:t>
      </w:r>
    </w:p>
    <w:p w:rsidR="006407CB" w:rsidRDefault="006407CB" w:rsidP="00A05404">
      <w:pPr>
        <w:jc w:val="both"/>
        <w:rPr>
          <w:lang w:val="ro-RO"/>
        </w:rPr>
      </w:pPr>
      <w:r>
        <w:rPr>
          <w:lang w:val="ro-RO"/>
        </w:rPr>
        <w:t xml:space="preserve">Luând în considerare faptul că vasta experiență europeană și bunele practici au dus la dezvoltarea unei noi abordări integrate de parteneriat privind siguranța și securitatea spectatorilor, reflectată în special în Recomandarea Rec (2015) 1 privind Siguranța, Securitatea și Deservirea în Timpul Meciurilor de Fotbal și </w:t>
      </w:r>
      <w:r w:rsidR="00F44CB4">
        <w:rPr>
          <w:lang w:val="ro-RO"/>
        </w:rPr>
        <w:t>a altor</w:t>
      </w:r>
      <w:r>
        <w:rPr>
          <w:lang w:val="ro-RO"/>
        </w:rPr>
        <w:t xml:space="preserve"> Evenimente Sportive, adoptată de către Comisia Permanentă a Convenției Nr. 120 în timpul celei de a 40</w:t>
      </w:r>
      <w:r w:rsidR="006934BA">
        <w:rPr>
          <w:lang w:val="ro-RO"/>
        </w:rPr>
        <w:t>-a</w:t>
      </w:r>
      <w:r>
        <w:rPr>
          <w:lang w:val="ro-RO"/>
        </w:rPr>
        <w:t xml:space="preserve"> întâlniri, desfășurată la 18 iunie 2015, </w:t>
      </w:r>
    </w:p>
    <w:p w:rsidR="006407CB" w:rsidRDefault="006407CB" w:rsidP="00A05404">
      <w:pPr>
        <w:jc w:val="both"/>
        <w:rPr>
          <w:lang w:val="ro-RO"/>
        </w:rPr>
      </w:pPr>
      <w:r>
        <w:rPr>
          <w:lang w:val="ro-RO"/>
        </w:rPr>
        <w:t xml:space="preserve">Au convenit asupra următoarelor: </w:t>
      </w:r>
    </w:p>
    <w:p w:rsidR="006407CB" w:rsidRDefault="006407CB" w:rsidP="00A05404">
      <w:pPr>
        <w:jc w:val="both"/>
        <w:rPr>
          <w:lang w:val="ro-RO"/>
        </w:rPr>
      </w:pPr>
      <w:r>
        <w:rPr>
          <w:b/>
          <w:lang w:val="ro-RO"/>
        </w:rPr>
        <w:t xml:space="preserve">Articolul 1 – Scopul </w:t>
      </w:r>
    </w:p>
    <w:p w:rsidR="007C30FF" w:rsidRDefault="005D1C66" w:rsidP="00A05404">
      <w:pPr>
        <w:pStyle w:val="Listparagraf"/>
        <w:numPr>
          <w:ilvl w:val="0"/>
          <w:numId w:val="1"/>
        </w:numPr>
        <w:jc w:val="both"/>
        <w:rPr>
          <w:lang w:val="ro-RO"/>
        </w:rPr>
      </w:pPr>
      <w:r>
        <w:rPr>
          <w:lang w:val="ro-RO"/>
        </w:rPr>
        <w:t>Părțile, în limitele prevederilor lor constituționale, vor întreprinde pașii necesari pentru a aplica prevederile aceste</w:t>
      </w:r>
      <w:r w:rsidR="006934BA">
        <w:rPr>
          <w:lang w:val="ro-RO"/>
        </w:rPr>
        <w:t>i</w:t>
      </w:r>
      <w:r>
        <w:rPr>
          <w:lang w:val="ro-RO"/>
        </w:rPr>
        <w:t xml:space="preserve"> Convenții </w:t>
      </w:r>
      <w:r w:rsidR="00691376">
        <w:rPr>
          <w:lang w:val="ro-RO"/>
        </w:rPr>
        <w:t xml:space="preserve">cu referire la </w:t>
      </w:r>
      <w:r>
        <w:rPr>
          <w:lang w:val="ro-RO"/>
        </w:rPr>
        <w:t>meciurile de fotbal sau turnee</w:t>
      </w:r>
      <w:r w:rsidR="006934BA">
        <w:rPr>
          <w:lang w:val="ro-RO"/>
        </w:rPr>
        <w:t>le</w:t>
      </w:r>
      <w:r>
        <w:rPr>
          <w:lang w:val="ro-RO"/>
        </w:rPr>
        <w:t xml:space="preserve"> desfășurate pe teritoriul acestora de către cluburile profesionale de fotbal și echipele naționale. </w:t>
      </w:r>
    </w:p>
    <w:p w:rsidR="0059671C" w:rsidRDefault="0059671C" w:rsidP="00A05404">
      <w:pPr>
        <w:pStyle w:val="Listparagraf"/>
        <w:numPr>
          <w:ilvl w:val="0"/>
          <w:numId w:val="1"/>
        </w:numPr>
        <w:jc w:val="both"/>
        <w:rPr>
          <w:lang w:val="ro-RO"/>
        </w:rPr>
      </w:pPr>
      <w:r>
        <w:rPr>
          <w:lang w:val="ro-RO"/>
        </w:rPr>
        <w:t>Părțile pot aplica prevederile acestei Convenții și în alte sporturi sau evenimente sportive, găzduite pe teritoriul acestora, inclusiv</w:t>
      </w:r>
      <w:r w:rsidR="006934BA">
        <w:rPr>
          <w:lang w:val="ro-RO"/>
        </w:rPr>
        <w:t xml:space="preserve"> şi la</w:t>
      </w:r>
      <w:r>
        <w:rPr>
          <w:lang w:val="ro-RO"/>
        </w:rPr>
        <w:t xml:space="preserve"> meciuri</w:t>
      </w:r>
      <w:r w:rsidR="006934BA">
        <w:rPr>
          <w:lang w:val="ro-RO"/>
        </w:rPr>
        <w:t>le</w:t>
      </w:r>
      <w:r>
        <w:rPr>
          <w:lang w:val="ro-RO"/>
        </w:rPr>
        <w:t xml:space="preserve"> de fotbal</w:t>
      </w:r>
      <w:r w:rsidR="006934BA">
        <w:rPr>
          <w:lang w:val="ro-RO"/>
        </w:rPr>
        <w:t xml:space="preserve"> de</w:t>
      </w:r>
      <w:r>
        <w:rPr>
          <w:lang w:val="ro-RO"/>
        </w:rPr>
        <w:t xml:space="preserve"> amator</w:t>
      </w:r>
      <w:r w:rsidR="006934BA">
        <w:rPr>
          <w:lang w:val="ro-RO"/>
        </w:rPr>
        <w:t>i</w:t>
      </w:r>
      <w:r w:rsidR="00B246F2">
        <w:rPr>
          <w:lang w:val="ro-RO"/>
        </w:rPr>
        <w:t>, în special în circumstanțe</w:t>
      </w:r>
      <w:r w:rsidR="00691376">
        <w:rPr>
          <w:lang w:val="ro-RO"/>
        </w:rPr>
        <w:t>le</w:t>
      </w:r>
      <w:r w:rsidR="00B246F2">
        <w:rPr>
          <w:lang w:val="ro-RO"/>
        </w:rPr>
        <w:t xml:space="preserve"> în care sunt </w:t>
      </w:r>
      <w:r w:rsidR="00691376">
        <w:rPr>
          <w:lang w:val="ro-RO"/>
        </w:rPr>
        <w:t xml:space="preserve">vizate </w:t>
      </w:r>
      <w:r w:rsidR="00B246F2">
        <w:rPr>
          <w:lang w:val="ro-RO"/>
        </w:rPr>
        <w:t xml:space="preserve">riscurile de siguranță și securitate. </w:t>
      </w:r>
    </w:p>
    <w:p w:rsidR="00B246F2" w:rsidRDefault="00B246F2" w:rsidP="00B246F2">
      <w:pPr>
        <w:jc w:val="both"/>
        <w:rPr>
          <w:lang w:val="ro-RO"/>
        </w:rPr>
      </w:pPr>
      <w:r>
        <w:rPr>
          <w:b/>
          <w:lang w:val="ro-RO"/>
        </w:rPr>
        <w:t xml:space="preserve">Articolul 2 – Obiectivul </w:t>
      </w:r>
      <w:r>
        <w:rPr>
          <w:lang w:val="ro-RO"/>
        </w:rPr>
        <w:t xml:space="preserve"> </w:t>
      </w:r>
    </w:p>
    <w:p w:rsidR="00B246F2" w:rsidRDefault="00853986" w:rsidP="00B246F2">
      <w:pPr>
        <w:jc w:val="both"/>
        <w:rPr>
          <w:lang w:val="ro-RO"/>
        </w:rPr>
      </w:pPr>
      <w:r>
        <w:rPr>
          <w:lang w:val="ro-RO"/>
        </w:rPr>
        <w:t>Obiectivul Convenției</w:t>
      </w:r>
      <w:r w:rsidR="00B246F2">
        <w:rPr>
          <w:lang w:val="ro-RO"/>
        </w:rPr>
        <w:t xml:space="preserve"> este de a asigura un mediu sigur și agreabil în timpul meciurilor de fotbal și </w:t>
      </w:r>
      <w:r w:rsidR="00F44CB4">
        <w:rPr>
          <w:lang w:val="ro-RO"/>
        </w:rPr>
        <w:t>a altor</w:t>
      </w:r>
      <w:r w:rsidR="00B246F2">
        <w:rPr>
          <w:lang w:val="ro-RO"/>
        </w:rPr>
        <w:t xml:space="preserve"> evenimente sportive. În acest sens, Părțile vor: </w:t>
      </w:r>
    </w:p>
    <w:p w:rsidR="00B246F2" w:rsidRDefault="006934BA" w:rsidP="00B246F2">
      <w:pPr>
        <w:pStyle w:val="Listparagraf"/>
        <w:numPr>
          <w:ilvl w:val="0"/>
          <w:numId w:val="2"/>
        </w:numPr>
        <w:jc w:val="both"/>
        <w:rPr>
          <w:lang w:val="ro-RO"/>
        </w:rPr>
      </w:pPr>
      <w:r>
        <w:rPr>
          <w:lang w:val="ro-RO"/>
        </w:rPr>
        <w:t>a</w:t>
      </w:r>
      <w:r w:rsidR="00B246F2">
        <w:rPr>
          <w:lang w:val="ro-RO"/>
        </w:rPr>
        <w:t xml:space="preserve">dopta o abordare integrată, balansată și </w:t>
      </w:r>
      <w:proofErr w:type="spellStart"/>
      <w:r w:rsidR="00691376">
        <w:rPr>
          <w:lang w:val="ro-RO"/>
        </w:rPr>
        <w:t>multi</w:t>
      </w:r>
      <w:r w:rsidR="00B246F2">
        <w:rPr>
          <w:lang w:val="ro-RO"/>
        </w:rPr>
        <w:t>-reprezentativă</w:t>
      </w:r>
      <w:proofErr w:type="spellEnd"/>
      <w:r w:rsidR="00B246F2">
        <w:rPr>
          <w:lang w:val="ro-RO"/>
        </w:rPr>
        <w:t xml:space="preserve"> privind siguranța, securitatea și deservirea, </w:t>
      </w:r>
      <w:r w:rsidR="00B246F2" w:rsidRPr="00B246F2">
        <w:rPr>
          <w:lang w:val="ro-RO"/>
        </w:rPr>
        <w:t>bazat</w:t>
      </w:r>
      <w:r w:rsidR="00B246F2">
        <w:rPr>
          <w:lang w:val="ro-RO"/>
        </w:rPr>
        <w:t>ă</w:t>
      </w:r>
      <w:r w:rsidR="00B246F2" w:rsidRPr="00B246F2">
        <w:rPr>
          <w:lang w:val="ro-RO"/>
        </w:rPr>
        <w:t xml:space="preserve"> pe un etos al parteneriatelor și cooperării eficiente la nivel local, național și internațional</w:t>
      </w:r>
      <w:r w:rsidR="00B246F2">
        <w:rPr>
          <w:lang w:val="ro-RO"/>
        </w:rPr>
        <w:t xml:space="preserve">; </w:t>
      </w:r>
    </w:p>
    <w:p w:rsidR="001D4BE9" w:rsidRDefault="006934BA" w:rsidP="00B246F2">
      <w:pPr>
        <w:pStyle w:val="Listparagraf"/>
        <w:numPr>
          <w:ilvl w:val="0"/>
          <w:numId w:val="2"/>
        </w:numPr>
        <w:jc w:val="both"/>
        <w:rPr>
          <w:lang w:val="ro-RO"/>
        </w:rPr>
      </w:pPr>
      <w:r>
        <w:rPr>
          <w:lang w:val="ro-RO"/>
        </w:rPr>
        <w:t>a</w:t>
      </w:r>
      <w:r w:rsidR="001D4BE9">
        <w:rPr>
          <w:lang w:val="ro-RO"/>
        </w:rPr>
        <w:t xml:space="preserve">sigura faptul că toate agențiile private și publice și alte părți interesate, admit că prevederea siguranței, securității și deservirii nu poate fi considerată </w:t>
      </w:r>
      <w:r w:rsidR="00372D26">
        <w:rPr>
          <w:lang w:val="ro-RO"/>
        </w:rPr>
        <w:t xml:space="preserve">ca ceva </w:t>
      </w:r>
      <w:r w:rsidR="00691376">
        <w:rPr>
          <w:lang w:val="ro-RO"/>
        </w:rPr>
        <w:t>separat</w:t>
      </w:r>
      <w:r w:rsidR="00372D26">
        <w:rPr>
          <w:lang w:val="ro-RO"/>
        </w:rPr>
        <w:t xml:space="preserve"> și poate avea o influență directă asupra asigurării celorlalte două componente; </w:t>
      </w:r>
    </w:p>
    <w:p w:rsidR="00182A7D" w:rsidRPr="00E42BC3" w:rsidRDefault="006934BA" w:rsidP="00182A7D">
      <w:pPr>
        <w:pStyle w:val="Listparagraf"/>
        <w:numPr>
          <w:ilvl w:val="0"/>
          <w:numId w:val="2"/>
        </w:numPr>
        <w:jc w:val="both"/>
        <w:rPr>
          <w:lang w:val="ro-RO"/>
        </w:rPr>
      </w:pPr>
      <w:r>
        <w:rPr>
          <w:lang w:val="ro-RO"/>
        </w:rPr>
        <w:lastRenderedPageBreak/>
        <w:t>l</w:t>
      </w:r>
      <w:r w:rsidR="00372D26">
        <w:rPr>
          <w:lang w:val="ro-RO"/>
        </w:rPr>
        <w:t xml:space="preserve">ua în considerare bunele practici în dezvoltarea unei abordări integrate privind siguranța, securitatea și deservirea. </w:t>
      </w:r>
    </w:p>
    <w:p w:rsidR="00372D26" w:rsidRDefault="00372D26" w:rsidP="00372D26">
      <w:pPr>
        <w:jc w:val="both"/>
        <w:rPr>
          <w:b/>
          <w:lang w:val="ro-RO"/>
        </w:rPr>
      </w:pPr>
      <w:r>
        <w:rPr>
          <w:b/>
          <w:lang w:val="ro-RO"/>
        </w:rPr>
        <w:t xml:space="preserve">Articolul 3 – Definiții </w:t>
      </w:r>
    </w:p>
    <w:p w:rsidR="00372D26" w:rsidRDefault="00157323" w:rsidP="00372D26">
      <w:pPr>
        <w:jc w:val="both"/>
        <w:rPr>
          <w:lang w:val="ro-RO"/>
        </w:rPr>
      </w:pPr>
      <w:r>
        <w:rPr>
          <w:lang w:val="ro-RO"/>
        </w:rPr>
        <w:t xml:space="preserve">În sensul acestei Convenții, termenii: </w:t>
      </w:r>
    </w:p>
    <w:p w:rsidR="00157323" w:rsidRDefault="00157323" w:rsidP="00157323">
      <w:pPr>
        <w:pStyle w:val="Listparagraf"/>
        <w:numPr>
          <w:ilvl w:val="0"/>
          <w:numId w:val="3"/>
        </w:numPr>
        <w:jc w:val="both"/>
        <w:rPr>
          <w:lang w:val="ro-RO"/>
        </w:rPr>
      </w:pPr>
      <w:r>
        <w:rPr>
          <w:lang w:val="ro-RO"/>
        </w:rPr>
        <w:t xml:space="preserve">”măsuri de siguranță” înseamnă orice măsură elaborată și implementată </w:t>
      </w:r>
      <w:r w:rsidR="00691376">
        <w:rPr>
          <w:lang w:val="ro-RO"/>
        </w:rPr>
        <w:t>cu</w:t>
      </w:r>
      <w:r>
        <w:rPr>
          <w:lang w:val="ro-RO"/>
        </w:rPr>
        <w:t xml:space="preserve"> scopul pri</w:t>
      </w:r>
      <w:r w:rsidR="00691376">
        <w:rPr>
          <w:lang w:val="ro-RO"/>
        </w:rPr>
        <w:t>ncipal</w:t>
      </w:r>
      <w:r>
        <w:rPr>
          <w:lang w:val="ro-RO"/>
        </w:rPr>
        <w:t xml:space="preserve"> de a proteja sănătatea și bunăstarea persoanelor</w:t>
      </w:r>
      <w:r w:rsidR="003208B1">
        <w:rPr>
          <w:lang w:val="ro-RO"/>
        </w:rPr>
        <w:t xml:space="preserve"> fizice</w:t>
      </w:r>
      <w:r>
        <w:rPr>
          <w:lang w:val="ro-RO"/>
        </w:rPr>
        <w:t xml:space="preserve"> sau </w:t>
      </w:r>
      <w:r w:rsidR="003208B1">
        <w:rPr>
          <w:lang w:val="ro-RO"/>
        </w:rPr>
        <w:t xml:space="preserve">a </w:t>
      </w:r>
      <w:r w:rsidR="00923B6F">
        <w:rPr>
          <w:lang w:val="ro-RO"/>
        </w:rPr>
        <w:t>grupurilor care merg/</w:t>
      </w:r>
      <w:r>
        <w:rPr>
          <w:lang w:val="ro-RO"/>
        </w:rPr>
        <w:t>participă la un meci de fotbal sau alte evenimente sportive, în cadrul sau în afara stadioanelor</w:t>
      </w:r>
      <w:r w:rsidR="00923B6F">
        <w:rPr>
          <w:lang w:val="ro-RO"/>
        </w:rPr>
        <w:t>,</w:t>
      </w:r>
      <w:r>
        <w:rPr>
          <w:lang w:val="ro-RO"/>
        </w:rPr>
        <w:t xml:space="preserve"> sau</w:t>
      </w:r>
      <w:r w:rsidR="00923B6F">
        <w:rPr>
          <w:lang w:val="ro-RO"/>
        </w:rPr>
        <w:t>,</w:t>
      </w:r>
      <w:r>
        <w:rPr>
          <w:lang w:val="ro-RO"/>
        </w:rPr>
        <w:t xml:space="preserve"> care locuiesc sau activează în vecinătatea evenimentului; </w:t>
      </w:r>
    </w:p>
    <w:p w:rsidR="00157323" w:rsidRDefault="00157323" w:rsidP="00157323">
      <w:pPr>
        <w:pStyle w:val="Listparagraf"/>
        <w:numPr>
          <w:ilvl w:val="0"/>
          <w:numId w:val="3"/>
        </w:numPr>
        <w:jc w:val="both"/>
        <w:rPr>
          <w:lang w:val="ro-RO"/>
        </w:rPr>
      </w:pPr>
      <w:r>
        <w:rPr>
          <w:lang w:val="ro-RO"/>
        </w:rPr>
        <w:t xml:space="preserve">”măsuri de securitate” înseamnă orice măsură elaborată și implementată </w:t>
      </w:r>
      <w:r w:rsidR="00A215DC">
        <w:rPr>
          <w:lang w:val="ro-RO"/>
        </w:rPr>
        <w:t>cu</w:t>
      </w:r>
      <w:r>
        <w:rPr>
          <w:lang w:val="ro-RO"/>
        </w:rPr>
        <w:t xml:space="preserve"> scopul pri</w:t>
      </w:r>
      <w:r w:rsidR="00A215DC">
        <w:rPr>
          <w:lang w:val="ro-RO"/>
        </w:rPr>
        <w:t>ncipal</w:t>
      </w:r>
      <w:r>
        <w:rPr>
          <w:lang w:val="ro-RO"/>
        </w:rPr>
        <w:t xml:space="preserve"> de a preveni, reduce riscul și/sau de a reacționa la orice violență sau altă activitate criminală sau dezordine comis</w:t>
      </w:r>
      <w:r w:rsidR="00A215DC">
        <w:rPr>
          <w:lang w:val="ro-RO"/>
        </w:rPr>
        <w:t>ă</w:t>
      </w:r>
      <w:r>
        <w:rPr>
          <w:lang w:val="ro-RO"/>
        </w:rPr>
        <w:t xml:space="preserve"> în timpul </w:t>
      </w:r>
      <w:r w:rsidR="00A215DC">
        <w:rPr>
          <w:lang w:val="ro-RO"/>
        </w:rPr>
        <w:t xml:space="preserve">meciurilor de </w:t>
      </w:r>
      <w:r w:rsidR="00923B6F">
        <w:rPr>
          <w:lang w:val="ro-RO"/>
        </w:rPr>
        <w:t>fotbal</w:t>
      </w:r>
      <w:r>
        <w:rPr>
          <w:lang w:val="ro-RO"/>
        </w:rPr>
        <w:t xml:space="preserve"> sau a altor evenimente sportive, în cadrul sau în afara </w:t>
      </w:r>
      <w:r w:rsidR="00A215DC">
        <w:rPr>
          <w:lang w:val="ro-RO"/>
        </w:rPr>
        <w:t xml:space="preserve">unui </w:t>
      </w:r>
      <w:r>
        <w:rPr>
          <w:lang w:val="ro-RO"/>
        </w:rPr>
        <w:t xml:space="preserve">stadion; </w:t>
      </w:r>
    </w:p>
    <w:p w:rsidR="00C844F0" w:rsidRDefault="00C844F0" w:rsidP="00157323">
      <w:pPr>
        <w:pStyle w:val="Listparagraf"/>
        <w:numPr>
          <w:ilvl w:val="0"/>
          <w:numId w:val="3"/>
        </w:numPr>
        <w:jc w:val="both"/>
        <w:rPr>
          <w:lang w:val="ro-RO"/>
        </w:rPr>
      </w:pPr>
      <w:r>
        <w:rPr>
          <w:lang w:val="ro-RO"/>
        </w:rPr>
        <w:t>”măsuri de deservire” înseamnă orice măsură elaborată și implementată cu scopul pri</w:t>
      </w:r>
      <w:r w:rsidR="00A215DC">
        <w:rPr>
          <w:lang w:val="ro-RO"/>
        </w:rPr>
        <w:t>ncipal</w:t>
      </w:r>
      <w:r>
        <w:rPr>
          <w:lang w:val="ro-RO"/>
        </w:rPr>
        <w:t xml:space="preserve"> de a face ca persoanele </w:t>
      </w:r>
      <w:r w:rsidR="00A215DC">
        <w:rPr>
          <w:lang w:val="ro-RO"/>
        </w:rPr>
        <w:t xml:space="preserve">fizice </w:t>
      </w:r>
      <w:r>
        <w:rPr>
          <w:lang w:val="ro-RO"/>
        </w:rPr>
        <w:t>și grupurile să se simtă confortabil, aprecia</w:t>
      </w:r>
      <w:r w:rsidR="006934BA">
        <w:rPr>
          <w:lang w:val="ro-RO"/>
        </w:rPr>
        <w:t>te</w:t>
      </w:r>
      <w:r>
        <w:rPr>
          <w:lang w:val="ro-RO"/>
        </w:rPr>
        <w:t xml:space="preserve"> și </w:t>
      </w:r>
      <w:r w:rsidR="006934BA">
        <w:rPr>
          <w:lang w:val="ro-RO"/>
        </w:rPr>
        <w:t>binevenite</w:t>
      </w:r>
      <w:r>
        <w:rPr>
          <w:lang w:val="ro-RO"/>
        </w:rPr>
        <w:t xml:space="preserve"> atunci când merg la un meci de fotbal sau alte evenimente sportive, în cadrul sau în afara unui stadion; </w:t>
      </w:r>
    </w:p>
    <w:p w:rsidR="00C844F0" w:rsidRDefault="00C844F0" w:rsidP="00157323">
      <w:pPr>
        <w:pStyle w:val="Listparagraf"/>
        <w:numPr>
          <w:ilvl w:val="0"/>
          <w:numId w:val="3"/>
        </w:numPr>
        <w:jc w:val="both"/>
        <w:rPr>
          <w:lang w:val="ro-RO"/>
        </w:rPr>
      </w:pPr>
      <w:r>
        <w:rPr>
          <w:lang w:val="ro-RO"/>
        </w:rPr>
        <w:t xml:space="preserve">”agenție” înseamnă orice organ public sau privat cu responsabilitate </w:t>
      </w:r>
      <w:r w:rsidR="00A215DC">
        <w:rPr>
          <w:lang w:val="ro-RO"/>
        </w:rPr>
        <w:t xml:space="preserve">constituțională, legislativă, </w:t>
      </w:r>
      <w:r>
        <w:rPr>
          <w:lang w:val="ro-RO"/>
        </w:rPr>
        <w:t xml:space="preserve">de reglementare, sau de alt tip care se ocupă de elaborarea și de implementarea oricărei măsuri de </w:t>
      </w:r>
      <w:r w:rsidR="00A215DC">
        <w:rPr>
          <w:lang w:val="ro-RO"/>
        </w:rPr>
        <w:t>siguranță</w:t>
      </w:r>
      <w:r>
        <w:rPr>
          <w:lang w:val="ro-RO"/>
        </w:rPr>
        <w:t>, securitate sau</w:t>
      </w:r>
      <w:r w:rsidR="00A215DC">
        <w:rPr>
          <w:lang w:val="ro-RO"/>
        </w:rPr>
        <w:t xml:space="preserve"> deservire</w:t>
      </w:r>
      <w:r w:rsidR="00A215DC" w:rsidDel="00A215DC">
        <w:rPr>
          <w:lang w:val="ro-RO"/>
        </w:rPr>
        <w:t xml:space="preserve"> </w:t>
      </w:r>
      <w:r>
        <w:rPr>
          <w:lang w:val="ro-RO"/>
        </w:rPr>
        <w:t xml:space="preserve"> ce ține de un meci de fotbal sau alte evenimente sportive, în cadrul sau în afara stadionului; </w:t>
      </w:r>
    </w:p>
    <w:p w:rsidR="004D3A57" w:rsidRDefault="004D3A57" w:rsidP="00157323">
      <w:pPr>
        <w:pStyle w:val="Listparagraf"/>
        <w:numPr>
          <w:ilvl w:val="0"/>
          <w:numId w:val="3"/>
        </w:numPr>
        <w:jc w:val="both"/>
        <w:rPr>
          <w:lang w:val="ro-RO"/>
        </w:rPr>
      </w:pPr>
      <w:r>
        <w:rPr>
          <w:lang w:val="ro-RO"/>
        </w:rPr>
        <w:t xml:space="preserve">”parte interesată” </w:t>
      </w:r>
      <w:r w:rsidR="00A215DC">
        <w:rPr>
          <w:lang w:val="ro-RO"/>
        </w:rPr>
        <w:t xml:space="preserve">include </w:t>
      </w:r>
      <w:r>
        <w:rPr>
          <w:lang w:val="ro-RO"/>
        </w:rPr>
        <w:t xml:space="preserve">spectatorii, comunitățile locale sau alte părți interesate care nu poartă responsabilități de reglementare sau legislative, dar care pot juca un rol important </w:t>
      </w:r>
      <w:r w:rsidR="00A215DC">
        <w:rPr>
          <w:lang w:val="ro-RO"/>
        </w:rPr>
        <w:t>în desfăşurarea</w:t>
      </w:r>
      <w:r>
        <w:rPr>
          <w:lang w:val="ro-RO"/>
        </w:rPr>
        <w:t xml:space="preserve"> meciuril</w:t>
      </w:r>
      <w:r w:rsidR="00A215DC">
        <w:rPr>
          <w:lang w:val="ro-RO"/>
        </w:rPr>
        <w:t>or</w:t>
      </w:r>
      <w:r>
        <w:rPr>
          <w:lang w:val="ro-RO"/>
        </w:rPr>
        <w:t xml:space="preserve"> de fotbal și </w:t>
      </w:r>
      <w:r w:rsidR="00A215DC">
        <w:rPr>
          <w:lang w:val="ro-RO"/>
        </w:rPr>
        <w:t xml:space="preserve">a </w:t>
      </w:r>
      <w:r>
        <w:rPr>
          <w:lang w:val="ro-RO"/>
        </w:rPr>
        <w:t xml:space="preserve">alte evenimente sportive </w:t>
      </w:r>
      <w:r w:rsidR="00A215DC">
        <w:rPr>
          <w:lang w:val="ro-RO"/>
        </w:rPr>
        <w:t xml:space="preserve">în condiţii </w:t>
      </w:r>
      <w:r>
        <w:rPr>
          <w:lang w:val="ro-RO"/>
        </w:rPr>
        <w:t>sigure</w:t>
      </w:r>
      <w:r w:rsidR="00A215DC">
        <w:rPr>
          <w:lang w:val="ro-RO"/>
        </w:rPr>
        <w:t xml:space="preserve"> </w:t>
      </w:r>
      <w:r>
        <w:rPr>
          <w:lang w:val="ro-RO"/>
        </w:rPr>
        <w:t xml:space="preserve">și agreabile, în cadrul sau în afara stadioanelor; </w:t>
      </w:r>
    </w:p>
    <w:p w:rsidR="00581459" w:rsidRDefault="00581459" w:rsidP="00157323">
      <w:pPr>
        <w:pStyle w:val="Listparagraf"/>
        <w:numPr>
          <w:ilvl w:val="0"/>
          <w:numId w:val="3"/>
        </w:numPr>
        <w:jc w:val="both"/>
        <w:rPr>
          <w:lang w:val="ro-RO"/>
        </w:rPr>
      </w:pPr>
      <w:r>
        <w:rPr>
          <w:lang w:val="ro-RO"/>
        </w:rPr>
        <w:t>”abordarea integrată„ înseamnă admiterea faptului că, indiferent de scopul lor, măsurile de siguranță, securitate și deservire în timpul meciurilor de fotbal și alt</w:t>
      </w:r>
      <w:r w:rsidR="00A215DC">
        <w:rPr>
          <w:lang w:val="ro-RO"/>
        </w:rPr>
        <w:t>or</w:t>
      </w:r>
      <w:r>
        <w:rPr>
          <w:lang w:val="ro-RO"/>
        </w:rPr>
        <w:t xml:space="preserve"> evenimente sportive se suprapun </w:t>
      </w:r>
      <w:r w:rsidR="00A0065B">
        <w:rPr>
          <w:lang w:val="ro-RO"/>
        </w:rPr>
        <w:t xml:space="preserve">fără excepție sunt legate între ele în ceea ce privește impactul, necesită </w:t>
      </w:r>
      <w:r w:rsidR="006934BA">
        <w:rPr>
          <w:lang w:val="ro-RO"/>
        </w:rPr>
        <w:t>a</w:t>
      </w:r>
      <w:r w:rsidR="00A0065B">
        <w:rPr>
          <w:lang w:val="ro-RO"/>
        </w:rPr>
        <w:t xml:space="preserve"> fi balansate și nu pot f</w:t>
      </w:r>
      <w:r w:rsidR="006934BA">
        <w:rPr>
          <w:lang w:val="ro-RO"/>
        </w:rPr>
        <w:t>i</w:t>
      </w:r>
      <w:r w:rsidR="00A0065B">
        <w:rPr>
          <w:lang w:val="ro-RO"/>
        </w:rPr>
        <w:t xml:space="preserve"> elaborate sau implementate </w:t>
      </w:r>
      <w:r w:rsidR="00A215DC">
        <w:rPr>
          <w:lang w:val="ro-RO"/>
        </w:rPr>
        <w:t>separat</w:t>
      </w:r>
      <w:r w:rsidR="00A0065B">
        <w:rPr>
          <w:lang w:val="ro-RO"/>
        </w:rPr>
        <w:t xml:space="preserve">; </w:t>
      </w:r>
    </w:p>
    <w:p w:rsidR="00E517E9" w:rsidRDefault="00E517E9" w:rsidP="00157323">
      <w:pPr>
        <w:pStyle w:val="Listparagraf"/>
        <w:numPr>
          <w:ilvl w:val="0"/>
          <w:numId w:val="3"/>
        </w:numPr>
        <w:jc w:val="both"/>
        <w:rPr>
          <w:lang w:val="ro-RO"/>
        </w:rPr>
      </w:pPr>
      <w:r>
        <w:rPr>
          <w:lang w:val="ro-RO"/>
        </w:rPr>
        <w:t xml:space="preserve">”abordare integrată </w:t>
      </w:r>
      <w:proofErr w:type="spellStart"/>
      <w:r w:rsidR="00A215DC">
        <w:rPr>
          <w:lang w:val="ro-RO"/>
        </w:rPr>
        <w:t>multi</w:t>
      </w:r>
      <w:r>
        <w:rPr>
          <w:lang w:val="ro-RO"/>
        </w:rPr>
        <w:t>-reprezentativă</w:t>
      </w:r>
      <w:proofErr w:type="spellEnd"/>
      <w:r>
        <w:rPr>
          <w:lang w:val="ro-RO"/>
        </w:rPr>
        <w:t>” înseamnă admiterea faptului că rolurile și acțiunile fiecărei agenții implicate în activități</w:t>
      </w:r>
      <w:r w:rsidR="00A215DC">
        <w:rPr>
          <w:lang w:val="ro-RO"/>
        </w:rPr>
        <w:t>le</w:t>
      </w:r>
      <w:r>
        <w:rPr>
          <w:lang w:val="ro-RO"/>
        </w:rPr>
        <w:t xml:space="preserve"> operative și de planificare a </w:t>
      </w:r>
      <w:r w:rsidR="00A215DC">
        <w:rPr>
          <w:lang w:val="ro-RO"/>
        </w:rPr>
        <w:t xml:space="preserve">meciurilor de </w:t>
      </w:r>
      <w:r>
        <w:rPr>
          <w:lang w:val="ro-RO"/>
        </w:rPr>
        <w:t>fotbal și ale altor sporturi trebuie să fie coordonate, complementare, proporțional</w:t>
      </w:r>
      <w:r w:rsidR="002C3039">
        <w:rPr>
          <w:lang w:val="ro-RO"/>
        </w:rPr>
        <w:t xml:space="preserve"> </w:t>
      </w:r>
      <w:r>
        <w:rPr>
          <w:lang w:val="ro-RO"/>
        </w:rPr>
        <w:t xml:space="preserve">elaborate și implementate ca parte a unei strategii comprehensive de siguranță, securitate și deservire; </w:t>
      </w:r>
    </w:p>
    <w:p w:rsidR="00E517E9" w:rsidRDefault="00E517E9" w:rsidP="00157323">
      <w:pPr>
        <w:pStyle w:val="Listparagraf"/>
        <w:numPr>
          <w:ilvl w:val="0"/>
          <w:numId w:val="3"/>
        </w:numPr>
        <w:jc w:val="both"/>
        <w:rPr>
          <w:lang w:val="ro-RO"/>
        </w:rPr>
      </w:pPr>
      <w:r>
        <w:rPr>
          <w:lang w:val="ro-RO"/>
        </w:rPr>
        <w:t xml:space="preserve">”bunele practici” înseamnă măsurile aplicate în una sau mai multe țări care au demonstrat că sunt eficiente în atingerea scopului și obiectivului stabilit; </w:t>
      </w:r>
    </w:p>
    <w:p w:rsidR="00E517E9" w:rsidRDefault="00E517E9" w:rsidP="00157323">
      <w:pPr>
        <w:pStyle w:val="Listparagraf"/>
        <w:numPr>
          <w:ilvl w:val="0"/>
          <w:numId w:val="3"/>
        </w:numPr>
        <w:jc w:val="both"/>
        <w:rPr>
          <w:lang w:val="ro-RO"/>
        </w:rPr>
      </w:pPr>
      <w:r>
        <w:rPr>
          <w:lang w:val="ro-RO"/>
        </w:rPr>
        <w:t>”agenți</w:t>
      </w:r>
      <w:r w:rsidR="000D4A24">
        <w:rPr>
          <w:lang w:val="ro-RO"/>
        </w:rPr>
        <w:t>e</w:t>
      </w:r>
      <w:r>
        <w:rPr>
          <w:lang w:val="ro-RO"/>
        </w:rPr>
        <w:t xml:space="preserve"> </w:t>
      </w:r>
      <w:r w:rsidR="000D4A24">
        <w:rPr>
          <w:lang w:val="ro-RO"/>
        </w:rPr>
        <w:t>competentă</w:t>
      </w:r>
      <w:r>
        <w:rPr>
          <w:lang w:val="ro-RO"/>
        </w:rPr>
        <w:t>” înseamnă un organ (public sau privat) implicat în organizarea și/sau gestionarea unui meci de fotbal sau a unui alt eveniment sportiv, desfășurat în cadrul sau în afara unui tern sport</w:t>
      </w:r>
      <w:r w:rsidR="000D4A24">
        <w:rPr>
          <w:lang w:val="ro-RO"/>
        </w:rPr>
        <w:t>iv</w:t>
      </w:r>
      <w:r>
        <w:rPr>
          <w:lang w:val="ro-RO"/>
        </w:rPr>
        <w:t xml:space="preserve">; </w:t>
      </w:r>
    </w:p>
    <w:p w:rsidR="00E517E9" w:rsidRDefault="00B63964" w:rsidP="00E517E9">
      <w:pPr>
        <w:jc w:val="both"/>
        <w:rPr>
          <w:lang w:val="ro-RO"/>
        </w:rPr>
      </w:pPr>
      <w:r>
        <w:rPr>
          <w:b/>
          <w:lang w:val="ro-RO"/>
        </w:rPr>
        <w:t xml:space="preserve">Articolul 4 – </w:t>
      </w:r>
      <w:r w:rsidR="00A526D9">
        <w:rPr>
          <w:b/>
          <w:lang w:val="ro-RO"/>
        </w:rPr>
        <w:t>Mecanismele</w:t>
      </w:r>
      <w:r>
        <w:rPr>
          <w:b/>
          <w:lang w:val="ro-RO"/>
        </w:rPr>
        <w:t xml:space="preserve"> </w:t>
      </w:r>
      <w:r w:rsidR="006934BA">
        <w:rPr>
          <w:b/>
          <w:lang w:val="ro-RO"/>
        </w:rPr>
        <w:t xml:space="preserve">naționale </w:t>
      </w:r>
      <w:r>
        <w:rPr>
          <w:b/>
          <w:lang w:val="ro-RO"/>
        </w:rPr>
        <w:t xml:space="preserve">de coordonare </w:t>
      </w:r>
    </w:p>
    <w:p w:rsidR="00B63964" w:rsidRDefault="00B63964" w:rsidP="00B63964">
      <w:pPr>
        <w:pStyle w:val="Listparagraf"/>
        <w:numPr>
          <w:ilvl w:val="0"/>
          <w:numId w:val="4"/>
        </w:numPr>
        <w:jc w:val="both"/>
        <w:rPr>
          <w:lang w:val="ro-RO"/>
        </w:rPr>
      </w:pPr>
      <w:r>
        <w:rPr>
          <w:lang w:val="ro-RO"/>
        </w:rPr>
        <w:t xml:space="preserve">Părțile vor asigura ca </w:t>
      </w:r>
      <w:r w:rsidR="00A526D9">
        <w:rPr>
          <w:lang w:val="ro-RO"/>
        </w:rPr>
        <w:t>mecanismele</w:t>
      </w:r>
      <w:r>
        <w:rPr>
          <w:lang w:val="ro-RO"/>
        </w:rPr>
        <w:t xml:space="preserve"> de coordonare locale și naționale </w:t>
      </w:r>
      <w:r w:rsidR="006934BA">
        <w:rPr>
          <w:lang w:val="ro-RO"/>
        </w:rPr>
        <w:t>să fie</w:t>
      </w:r>
      <w:r>
        <w:rPr>
          <w:lang w:val="ro-RO"/>
        </w:rPr>
        <w:t xml:space="preserve"> </w:t>
      </w:r>
      <w:r w:rsidR="00A526D9">
        <w:rPr>
          <w:lang w:val="ro-RO"/>
        </w:rPr>
        <w:t>elaborate</w:t>
      </w:r>
      <w:r>
        <w:rPr>
          <w:lang w:val="ro-RO"/>
        </w:rPr>
        <w:t xml:space="preserve"> în scopul dezvoltării și implementării unei abordări integrate </w:t>
      </w:r>
      <w:proofErr w:type="spellStart"/>
      <w:r w:rsidR="00682467">
        <w:rPr>
          <w:lang w:val="ro-RO"/>
        </w:rPr>
        <w:t>multi</w:t>
      </w:r>
      <w:r>
        <w:rPr>
          <w:lang w:val="ro-RO"/>
        </w:rPr>
        <w:t>-reprezentative</w:t>
      </w:r>
      <w:proofErr w:type="spellEnd"/>
      <w:r>
        <w:rPr>
          <w:lang w:val="ro-RO"/>
        </w:rPr>
        <w:t xml:space="preserve"> privind siguranța, securitatea și deservirea la nivel local și național. </w:t>
      </w:r>
    </w:p>
    <w:p w:rsidR="00A56C1A" w:rsidRDefault="00A56C1A" w:rsidP="00A56C1A">
      <w:pPr>
        <w:pStyle w:val="Listparagraf"/>
        <w:numPr>
          <w:ilvl w:val="0"/>
          <w:numId w:val="4"/>
        </w:numPr>
        <w:jc w:val="both"/>
        <w:rPr>
          <w:lang w:val="ro-RO"/>
        </w:rPr>
      </w:pPr>
      <w:r>
        <w:rPr>
          <w:lang w:val="ro-RO"/>
        </w:rPr>
        <w:t xml:space="preserve">Părțile vor asigura ca </w:t>
      </w:r>
      <w:r w:rsidR="00C152AA">
        <w:rPr>
          <w:lang w:val="ro-RO"/>
        </w:rPr>
        <w:t>mecanismele</w:t>
      </w:r>
      <w:r>
        <w:rPr>
          <w:lang w:val="ro-RO"/>
        </w:rPr>
        <w:t xml:space="preserve"> de coordonare locale și naționale s</w:t>
      </w:r>
      <w:r w:rsidR="006934BA">
        <w:rPr>
          <w:lang w:val="ro-RO"/>
        </w:rPr>
        <w:t>ă fie</w:t>
      </w:r>
      <w:r>
        <w:rPr>
          <w:lang w:val="ro-RO"/>
        </w:rPr>
        <w:t xml:space="preserve"> stabilite pentru a identifica, analiza și evalua riscurile ce țin de siguranț</w:t>
      </w:r>
      <w:r w:rsidR="006934BA">
        <w:rPr>
          <w:lang w:val="ro-RO"/>
        </w:rPr>
        <w:t>ă</w:t>
      </w:r>
      <w:r>
        <w:rPr>
          <w:lang w:val="ro-RO"/>
        </w:rPr>
        <w:t xml:space="preserve">, securitate și </w:t>
      </w:r>
      <w:r w:rsidR="006934BA">
        <w:rPr>
          <w:lang w:val="ro-RO"/>
        </w:rPr>
        <w:t>deservire</w:t>
      </w:r>
      <w:r>
        <w:rPr>
          <w:lang w:val="ro-RO"/>
        </w:rPr>
        <w:t xml:space="preserve"> și pentru </w:t>
      </w:r>
      <w:r w:rsidR="00682467">
        <w:rPr>
          <w:lang w:val="ro-RO"/>
        </w:rPr>
        <w:t>a</w:t>
      </w:r>
      <w:r>
        <w:rPr>
          <w:lang w:val="ro-RO"/>
        </w:rPr>
        <w:t xml:space="preserve"> fi posibil de </w:t>
      </w:r>
      <w:r w:rsidR="006934BA">
        <w:rPr>
          <w:lang w:val="ro-RO"/>
        </w:rPr>
        <w:t>distribuit</w:t>
      </w:r>
      <w:r>
        <w:rPr>
          <w:lang w:val="ro-RO"/>
        </w:rPr>
        <w:t xml:space="preserve"> informațiile actualizate privind evaluarea </w:t>
      </w:r>
      <w:r w:rsidR="004F16D9">
        <w:rPr>
          <w:lang w:val="ro-RO"/>
        </w:rPr>
        <w:t>riscurilor</w:t>
      </w:r>
      <w:r>
        <w:rPr>
          <w:lang w:val="ro-RO"/>
        </w:rPr>
        <w:t xml:space="preserve">. </w:t>
      </w:r>
    </w:p>
    <w:p w:rsidR="004F16D9" w:rsidRDefault="004F16D9" w:rsidP="00A56C1A">
      <w:pPr>
        <w:pStyle w:val="Listparagraf"/>
        <w:numPr>
          <w:ilvl w:val="0"/>
          <w:numId w:val="4"/>
        </w:numPr>
        <w:jc w:val="both"/>
        <w:rPr>
          <w:lang w:val="ro-RO"/>
        </w:rPr>
      </w:pPr>
      <w:r>
        <w:rPr>
          <w:lang w:val="ro-RO"/>
        </w:rPr>
        <w:lastRenderedPageBreak/>
        <w:t xml:space="preserve">Părțile </w:t>
      </w:r>
      <w:r w:rsidR="00682467">
        <w:rPr>
          <w:lang w:val="ro-RO"/>
        </w:rPr>
        <w:t xml:space="preserve">se </w:t>
      </w:r>
      <w:r w:rsidR="00364448">
        <w:rPr>
          <w:lang w:val="ro-RO"/>
        </w:rPr>
        <w:t>vor asigura ca</w:t>
      </w:r>
      <w:r w:rsidR="00682467">
        <w:rPr>
          <w:lang w:val="ro-RO"/>
        </w:rPr>
        <w:t xml:space="preserve"> în</w:t>
      </w:r>
      <w:r w:rsidR="00364448">
        <w:rPr>
          <w:lang w:val="ro-RO"/>
        </w:rPr>
        <w:t xml:space="preserve"> </w:t>
      </w:r>
      <w:r w:rsidR="00682467">
        <w:rPr>
          <w:lang w:val="ro-RO"/>
        </w:rPr>
        <w:t>aranjamentele</w:t>
      </w:r>
      <w:r w:rsidR="0024093A">
        <w:rPr>
          <w:lang w:val="ro-RO"/>
        </w:rPr>
        <w:t xml:space="preserve"> de coordonare să fie implicate toate agențiile publice și private</w:t>
      </w:r>
      <w:r w:rsidR="00600C58">
        <w:rPr>
          <w:lang w:val="ro-RO"/>
        </w:rPr>
        <w:t xml:space="preserve"> </w:t>
      </w:r>
      <w:r w:rsidR="00682467">
        <w:rPr>
          <w:lang w:val="ro-RO"/>
        </w:rPr>
        <w:t>importante</w:t>
      </w:r>
      <w:r w:rsidR="00682467" w:rsidDel="00682467">
        <w:rPr>
          <w:lang w:val="ro-RO"/>
        </w:rPr>
        <w:t xml:space="preserve"> </w:t>
      </w:r>
      <w:r w:rsidR="0024093A">
        <w:rPr>
          <w:lang w:val="ro-RO"/>
        </w:rPr>
        <w:t xml:space="preserve"> responsabile de probleme</w:t>
      </w:r>
      <w:r w:rsidR="00682467">
        <w:rPr>
          <w:lang w:val="ro-RO"/>
        </w:rPr>
        <w:t>le</w:t>
      </w:r>
      <w:r w:rsidR="0024093A">
        <w:rPr>
          <w:lang w:val="ro-RO"/>
        </w:rPr>
        <w:t xml:space="preserve"> legate de siguranță, securitate și deservire </w:t>
      </w:r>
      <w:r w:rsidR="00682467">
        <w:rPr>
          <w:lang w:val="ro-RO"/>
        </w:rPr>
        <w:t>l</w:t>
      </w:r>
      <w:r w:rsidR="0024093A">
        <w:rPr>
          <w:lang w:val="ro-RO"/>
        </w:rPr>
        <w:t xml:space="preserve">a eveniment, în cadrul și în afara locului unde </w:t>
      </w:r>
      <w:r w:rsidR="00682467">
        <w:rPr>
          <w:lang w:val="ro-RO"/>
        </w:rPr>
        <w:t xml:space="preserve">are loc </w:t>
      </w:r>
      <w:r w:rsidR="0024093A">
        <w:rPr>
          <w:lang w:val="ro-RO"/>
        </w:rPr>
        <w:t xml:space="preserve">evenimentul. </w:t>
      </w:r>
    </w:p>
    <w:p w:rsidR="0024093A" w:rsidRDefault="007278C9" w:rsidP="00A56C1A">
      <w:pPr>
        <w:pStyle w:val="Listparagraf"/>
        <w:numPr>
          <w:ilvl w:val="0"/>
          <w:numId w:val="4"/>
        </w:numPr>
        <w:jc w:val="both"/>
        <w:rPr>
          <w:lang w:val="ro-RO"/>
        </w:rPr>
      </w:pPr>
      <w:r>
        <w:rPr>
          <w:lang w:val="ro-RO"/>
        </w:rPr>
        <w:t xml:space="preserve">Părțile vor asigura ca </w:t>
      </w:r>
      <w:r w:rsidR="00C152AA">
        <w:rPr>
          <w:lang w:val="ro-RO"/>
        </w:rPr>
        <w:t>mecanismele</w:t>
      </w:r>
      <w:r>
        <w:rPr>
          <w:lang w:val="ro-RO"/>
        </w:rPr>
        <w:t xml:space="preserve"> de coordonare să ia pe deplin în considerare principiile de siguranță, securitate și deservire stabilite în această Convenție și c</w:t>
      </w:r>
      <w:r w:rsidR="006934BA">
        <w:rPr>
          <w:lang w:val="ro-RO"/>
        </w:rPr>
        <w:t>ă</w:t>
      </w:r>
      <w:r>
        <w:rPr>
          <w:lang w:val="ro-RO"/>
        </w:rPr>
        <w:t xml:space="preserve"> strategiile naționale și locale sunt dezvoltate, evaluate</w:t>
      </w:r>
      <w:r w:rsidR="00325DD8">
        <w:rPr>
          <w:lang w:val="ro-RO"/>
        </w:rPr>
        <w:t xml:space="preserve"> regulat și redefinite prin prisma experienței și bunelor practici naționale și internaționale; </w:t>
      </w:r>
    </w:p>
    <w:p w:rsidR="00DC480C" w:rsidRDefault="00DC480C" w:rsidP="00A56C1A">
      <w:pPr>
        <w:pStyle w:val="Listparagraf"/>
        <w:numPr>
          <w:ilvl w:val="0"/>
          <w:numId w:val="4"/>
        </w:numPr>
        <w:jc w:val="both"/>
        <w:rPr>
          <w:lang w:val="ro-RO"/>
        </w:rPr>
      </w:pPr>
      <w:r>
        <w:rPr>
          <w:lang w:val="ro-RO"/>
        </w:rPr>
        <w:t xml:space="preserve">Părțile vor asigura ca cadrele </w:t>
      </w:r>
      <w:r w:rsidR="00682467">
        <w:rPr>
          <w:lang w:val="ro-RO"/>
        </w:rPr>
        <w:t xml:space="preserve">naționale </w:t>
      </w:r>
      <w:r>
        <w:rPr>
          <w:lang w:val="ro-RO"/>
        </w:rPr>
        <w:t xml:space="preserve">administrative, de reglementare și legale </w:t>
      </w:r>
      <w:r w:rsidR="006934BA">
        <w:rPr>
          <w:lang w:val="ro-RO"/>
        </w:rPr>
        <w:t xml:space="preserve">să </w:t>
      </w:r>
      <w:r>
        <w:rPr>
          <w:lang w:val="ro-RO"/>
        </w:rPr>
        <w:t>specific</w:t>
      </w:r>
      <w:r w:rsidR="006934BA">
        <w:rPr>
          <w:lang w:val="ro-RO"/>
        </w:rPr>
        <w:t>e</w:t>
      </w:r>
      <w:r>
        <w:rPr>
          <w:lang w:val="ro-RO"/>
        </w:rPr>
        <w:t xml:space="preserve"> rolurile și responsabilitățile respective ale agențiilor </w:t>
      </w:r>
      <w:r w:rsidR="00682467">
        <w:rPr>
          <w:lang w:val="ro-RO"/>
        </w:rPr>
        <w:t>competente</w:t>
      </w:r>
      <w:r>
        <w:rPr>
          <w:lang w:val="ro-RO"/>
        </w:rPr>
        <w:t xml:space="preserve"> și că aceste roluri </w:t>
      </w:r>
      <w:r w:rsidR="00682467">
        <w:rPr>
          <w:lang w:val="ro-RO"/>
        </w:rPr>
        <w:t>sunt</w:t>
      </w:r>
      <w:r>
        <w:rPr>
          <w:lang w:val="ro-RO"/>
        </w:rPr>
        <w:t xml:space="preserve"> complementare</w:t>
      </w:r>
      <w:r w:rsidR="00682467">
        <w:rPr>
          <w:lang w:val="ro-RO"/>
        </w:rPr>
        <w:t xml:space="preserve"> şi</w:t>
      </w:r>
      <w:r>
        <w:rPr>
          <w:lang w:val="ro-RO"/>
        </w:rPr>
        <w:t xml:space="preserve"> în concordanță cu abordare</w:t>
      </w:r>
      <w:r w:rsidR="00682467">
        <w:rPr>
          <w:lang w:val="ro-RO"/>
        </w:rPr>
        <w:t>a</w:t>
      </w:r>
      <w:r>
        <w:rPr>
          <w:lang w:val="ro-RO"/>
        </w:rPr>
        <w:t xml:space="preserve"> integrată și pe </w:t>
      </w:r>
      <w:r w:rsidR="00682467">
        <w:rPr>
          <w:lang w:val="ro-RO"/>
        </w:rPr>
        <w:t xml:space="preserve">scară largă </w:t>
      </w:r>
      <w:r>
        <w:rPr>
          <w:lang w:val="ro-RO"/>
        </w:rPr>
        <w:t>înțeleasă la nivel strategic și operativ.</w:t>
      </w:r>
    </w:p>
    <w:p w:rsidR="00DC480C" w:rsidRDefault="00DC480C" w:rsidP="00DC480C">
      <w:pPr>
        <w:jc w:val="both"/>
        <w:rPr>
          <w:lang w:val="ro-RO"/>
        </w:rPr>
      </w:pPr>
      <w:r>
        <w:rPr>
          <w:b/>
          <w:lang w:val="ro-RO"/>
        </w:rPr>
        <w:t>Articolul 5 – Siguranța, securitatea și deservirea pe terenurile sport</w:t>
      </w:r>
      <w:r w:rsidR="00682467">
        <w:rPr>
          <w:b/>
          <w:lang w:val="ro-RO"/>
        </w:rPr>
        <w:t>ive</w:t>
      </w:r>
      <w:r>
        <w:rPr>
          <w:lang w:val="ro-RO"/>
        </w:rPr>
        <w:t xml:space="preserve"> </w:t>
      </w:r>
    </w:p>
    <w:p w:rsidR="00DC480C" w:rsidRDefault="00DC480C" w:rsidP="003B64FA">
      <w:pPr>
        <w:pStyle w:val="Listparagraf"/>
        <w:numPr>
          <w:ilvl w:val="0"/>
          <w:numId w:val="5"/>
        </w:numPr>
        <w:jc w:val="both"/>
        <w:rPr>
          <w:lang w:val="ro-RO"/>
        </w:rPr>
      </w:pPr>
      <w:r w:rsidRPr="003B64FA">
        <w:rPr>
          <w:lang w:val="ro-RO"/>
        </w:rPr>
        <w:t xml:space="preserve"> </w:t>
      </w:r>
      <w:r w:rsidR="008849F1">
        <w:rPr>
          <w:lang w:val="ro-RO"/>
        </w:rPr>
        <w:t xml:space="preserve">Părțile vor asigura ca cadrele </w:t>
      </w:r>
      <w:r w:rsidR="00682467">
        <w:rPr>
          <w:lang w:val="ro-RO"/>
        </w:rPr>
        <w:t xml:space="preserve">naționale </w:t>
      </w:r>
      <w:r w:rsidR="008849F1">
        <w:rPr>
          <w:lang w:val="ro-RO"/>
        </w:rPr>
        <w:t xml:space="preserve">administrative, de reglementare și legale </w:t>
      </w:r>
      <w:r w:rsidR="00682467">
        <w:rPr>
          <w:lang w:val="ro-RO"/>
        </w:rPr>
        <w:t xml:space="preserve">să </w:t>
      </w:r>
      <w:r w:rsidR="008849F1">
        <w:rPr>
          <w:lang w:val="ro-RO"/>
        </w:rPr>
        <w:t>solicit</w:t>
      </w:r>
      <w:r w:rsidR="00682467">
        <w:rPr>
          <w:lang w:val="ro-RO"/>
        </w:rPr>
        <w:t>e</w:t>
      </w:r>
      <w:r w:rsidR="008849F1">
        <w:rPr>
          <w:lang w:val="ro-RO"/>
        </w:rPr>
        <w:t xml:space="preserve"> ca organizatorii de evenimente, în consultare cu toate agențiile partener</w:t>
      </w:r>
      <w:r w:rsidR="00682467">
        <w:rPr>
          <w:lang w:val="ro-RO"/>
        </w:rPr>
        <w:t>e</w:t>
      </w:r>
      <w:r w:rsidR="008849F1">
        <w:rPr>
          <w:lang w:val="ro-RO"/>
        </w:rPr>
        <w:t xml:space="preserve">, să asigure un mediu sigur pentru toți </w:t>
      </w:r>
      <w:r w:rsidR="00852D55">
        <w:rPr>
          <w:lang w:val="ro-RO"/>
        </w:rPr>
        <w:t>participanții</w:t>
      </w:r>
      <w:r w:rsidR="008849F1">
        <w:rPr>
          <w:lang w:val="ro-RO"/>
        </w:rPr>
        <w:t xml:space="preserve"> și spectatorii. </w:t>
      </w:r>
    </w:p>
    <w:p w:rsidR="00852D55" w:rsidRDefault="002A213D" w:rsidP="003B64FA">
      <w:pPr>
        <w:pStyle w:val="Listparagraf"/>
        <w:numPr>
          <w:ilvl w:val="0"/>
          <w:numId w:val="5"/>
        </w:numPr>
        <w:jc w:val="both"/>
        <w:rPr>
          <w:lang w:val="ro-RO"/>
        </w:rPr>
      </w:pPr>
      <w:r>
        <w:rPr>
          <w:lang w:val="ro-RO"/>
        </w:rPr>
        <w:t xml:space="preserve">Părțile vor asigura ca autoritățile publice competente </w:t>
      </w:r>
      <w:r w:rsidR="00682467">
        <w:rPr>
          <w:lang w:val="ro-RO"/>
        </w:rPr>
        <w:t>să implementeze</w:t>
      </w:r>
      <w:r>
        <w:rPr>
          <w:lang w:val="ro-RO"/>
        </w:rPr>
        <w:t xml:space="preserve"> reglementări</w:t>
      </w:r>
      <w:r w:rsidR="00682467">
        <w:rPr>
          <w:lang w:val="ro-RO"/>
        </w:rPr>
        <w:t>le</w:t>
      </w:r>
      <w:r>
        <w:rPr>
          <w:lang w:val="ro-RO"/>
        </w:rPr>
        <w:t xml:space="preserve"> și </w:t>
      </w:r>
      <w:r w:rsidR="00682467">
        <w:rPr>
          <w:lang w:val="ro-RO"/>
        </w:rPr>
        <w:t xml:space="preserve">aranjamentele </w:t>
      </w:r>
      <w:r w:rsidR="00E85D7D">
        <w:rPr>
          <w:lang w:val="ro-RO"/>
        </w:rPr>
        <w:t>care să garanteze eficacitatea proceduril</w:t>
      </w:r>
      <w:r w:rsidR="00682467">
        <w:rPr>
          <w:lang w:val="ro-RO"/>
        </w:rPr>
        <w:t>or</w:t>
      </w:r>
      <w:r w:rsidR="00E85D7D">
        <w:rPr>
          <w:lang w:val="ro-RO"/>
        </w:rPr>
        <w:t xml:space="preserve"> de autorizare a stadioanelor, modalitățil</w:t>
      </w:r>
      <w:r w:rsidR="00EC68A6">
        <w:rPr>
          <w:lang w:val="ro-RO"/>
        </w:rPr>
        <w:t>or</w:t>
      </w:r>
      <w:r w:rsidR="00E85D7D">
        <w:rPr>
          <w:lang w:val="ro-RO"/>
        </w:rPr>
        <w:t xml:space="preserve"> de certificare și reglementările de siguranță </w:t>
      </w:r>
      <w:r w:rsidR="00EC68A6">
        <w:rPr>
          <w:lang w:val="ro-RO"/>
        </w:rPr>
        <w:t>care</w:t>
      </w:r>
      <w:r w:rsidR="00E85D7D">
        <w:rPr>
          <w:lang w:val="ro-RO"/>
        </w:rPr>
        <w:t xml:space="preserve"> să asigure aplicarea, monitorizarea și executarea acestora. </w:t>
      </w:r>
    </w:p>
    <w:p w:rsidR="006C0DA9" w:rsidRDefault="006C0DA9" w:rsidP="003B64FA">
      <w:pPr>
        <w:pStyle w:val="Listparagraf"/>
        <w:numPr>
          <w:ilvl w:val="0"/>
          <w:numId w:val="5"/>
        </w:numPr>
        <w:jc w:val="both"/>
        <w:rPr>
          <w:lang w:val="ro-RO"/>
        </w:rPr>
      </w:pPr>
      <w:r>
        <w:rPr>
          <w:lang w:val="ro-RO"/>
        </w:rPr>
        <w:t xml:space="preserve">Părțile vor cere agențiilor </w:t>
      </w:r>
      <w:r w:rsidR="00EC68A6">
        <w:rPr>
          <w:lang w:val="ro-RO"/>
        </w:rPr>
        <w:t>competente</w:t>
      </w:r>
      <w:r>
        <w:rPr>
          <w:lang w:val="ro-RO"/>
        </w:rPr>
        <w:t xml:space="preserve"> să </w:t>
      </w:r>
      <w:r w:rsidR="00EC68A6">
        <w:rPr>
          <w:lang w:val="ro-RO"/>
        </w:rPr>
        <w:t xml:space="preserve">se </w:t>
      </w:r>
      <w:r>
        <w:rPr>
          <w:lang w:val="ro-RO"/>
        </w:rPr>
        <w:t>asigure ca forma stadionului, infrastructura și reglem</w:t>
      </w:r>
      <w:r w:rsidR="00C152AA">
        <w:rPr>
          <w:lang w:val="ro-RO"/>
        </w:rPr>
        <w:t>entările asociate gestionar</w:t>
      </w:r>
      <w:r w:rsidR="009F4DE7">
        <w:rPr>
          <w:lang w:val="ro-RO"/>
        </w:rPr>
        <w:t>ii</w:t>
      </w:r>
      <w:r>
        <w:rPr>
          <w:lang w:val="ro-RO"/>
        </w:rPr>
        <w:t xml:space="preserve"> mulțimii sunt conforme cu standardele și bunele practici naționale și internaționale. </w:t>
      </w:r>
    </w:p>
    <w:p w:rsidR="00100F96" w:rsidRDefault="00100F96" w:rsidP="003B64FA">
      <w:pPr>
        <w:pStyle w:val="Listparagraf"/>
        <w:numPr>
          <w:ilvl w:val="0"/>
          <w:numId w:val="5"/>
        </w:numPr>
        <w:jc w:val="both"/>
        <w:rPr>
          <w:lang w:val="ro-RO"/>
        </w:rPr>
      </w:pPr>
      <w:r>
        <w:rPr>
          <w:lang w:val="ro-RO"/>
        </w:rPr>
        <w:t xml:space="preserve">Părțile vor încuraja agențiile </w:t>
      </w:r>
      <w:r w:rsidR="00EC68A6">
        <w:rPr>
          <w:lang w:val="ro-RO"/>
        </w:rPr>
        <w:t>competente</w:t>
      </w:r>
      <w:r>
        <w:rPr>
          <w:lang w:val="ro-RO"/>
        </w:rPr>
        <w:t xml:space="preserve"> să </w:t>
      </w:r>
      <w:r w:rsidR="00EC68A6">
        <w:rPr>
          <w:lang w:val="ro-RO"/>
        </w:rPr>
        <w:t xml:space="preserve">se </w:t>
      </w:r>
      <w:r>
        <w:rPr>
          <w:lang w:val="ro-RO"/>
        </w:rPr>
        <w:t>asigure c</w:t>
      </w:r>
      <w:r w:rsidR="00EC68A6">
        <w:rPr>
          <w:lang w:val="ro-RO"/>
        </w:rPr>
        <w:t>ă</w:t>
      </w:r>
      <w:r>
        <w:rPr>
          <w:lang w:val="ro-RO"/>
        </w:rPr>
        <w:t xml:space="preserve"> stadioanele ofer</w:t>
      </w:r>
      <w:r w:rsidR="00EC68A6">
        <w:rPr>
          <w:lang w:val="ro-RO"/>
        </w:rPr>
        <w:t>ă</w:t>
      </w:r>
      <w:r>
        <w:rPr>
          <w:lang w:val="ro-RO"/>
        </w:rPr>
        <w:t xml:space="preserve"> un mediu agreabil și inclusiv pentru toate nivel</w:t>
      </w:r>
      <w:r w:rsidR="009F4DE7">
        <w:rPr>
          <w:lang w:val="ro-RO"/>
        </w:rPr>
        <w:t>urile</w:t>
      </w:r>
      <w:r>
        <w:rPr>
          <w:lang w:val="ro-RO"/>
        </w:rPr>
        <w:t xml:space="preserve"> societ</w:t>
      </w:r>
      <w:r w:rsidR="009F4DE7">
        <w:rPr>
          <w:lang w:val="ro-RO"/>
        </w:rPr>
        <w:t>ăţii</w:t>
      </w:r>
      <w:r>
        <w:rPr>
          <w:lang w:val="ro-RO"/>
        </w:rPr>
        <w:t xml:space="preserve">, inclusiv </w:t>
      </w:r>
      <w:r w:rsidR="00EC68A6">
        <w:rPr>
          <w:lang w:val="ro-RO"/>
        </w:rPr>
        <w:t xml:space="preserve">pentru </w:t>
      </w:r>
      <w:r>
        <w:rPr>
          <w:lang w:val="ro-RO"/>
        </w:rPr>
        <w:t xml:space="preserve">copii, vârstnici și persoane cu </w:t>
      </w:r>
      <w:r w:rsidR="00600C58">
        <w:rPr>
          <w:lang w:val="ro-RO"/>
        </w:rPr>
        <w:t>dezabilități</w:t>
      </w:r>
      <w:r>
        <w:rPr>
          <w:lang w:val="ro-RO"/>
        </w:rPr>
        <w:t>; și să încorporeze, în special,</w:t>
      </w:r>
      <w:r w:rsidR="00EC68A6">
        <w:rPr>
          <w:lang w:val="ro-RO"/>
        </w:rPr>
        <w:t>dotarea</w:t>
      </w:r>
      <w:r>
        <w:rPr>
          <w:lang w:val="ro-RO"/>
        </w:rPr>
        <w:t xml:space="preserve"> cu </w:t>
      </w:r>
      <w:r w:rsidR="00CD5DE8">
        <w:rPr>
          <w:lang w:val="ro-RO"/>
        </w:rPr>
        <w:t xml:space="preserve">instalații sanitare </w:t>
      </w:r>
      <w:r w:rsidR="00AD2CFD">
        <w:rPr>
          <w:lang w:val="ro-RO"/>
        </w:rPr>
        <w:t xml:space="preserve">și </w:t>
      </w:r>
      <w:r w:rsidR="009F4DE7">
        <w:rPr>
          <w:lang w:val="ro-RO"/>
        </w:rPr>
        <w:t xml:space="preserve">de </w:t>
      </w:r>
      <w:r w:rsidR="00AD2CFD">
        <w:rPr>
          <w:lang w:val="ro-RO"/>
        </w:rPr>
        <w:t xml:space="preserve">deservire cu băuturi răcoritoare, cât și condiții adecvate de vizualizare pentru toți </w:t>
      </w:r>
      <w:r w:rsidR="001D457F">
        <w:rPr>
          <w:lang w:val="ro-RO"/>
        </w:rPr>
        <w:t>spectatorii</w:t>
      </w:r>
      <w:r w:rsidR="00AD2CFD">
        <w:rPr>
          <w:lang w:val="ro-RO"/>
        </w:rPr>
        <w:t xml:space="preserve">. </w:t>
      </w:r>
    </w:p>
    <w:p w:rsidR="001D457F" w:rsidRDefault="001D457F" w:rsidP="003B64FA">
      <w:pPr>
        <w:pStyle w:val="Listparagraf"/>
        <w:numPr>
          <w:ilvl w:val="0"/>
          <w:numId w:val="5"/>
        </w:numPr>
        <w:jc w:val="both"/>
        <w:rPr>
          <w:lang w:val="ro-RO"/>
        </w:rPr>
      </w:pPr>
      <w:r>
        <w:rPr>
          <w:lang w:val="ro-RO"/>
        </w:rPr>
        <w:t>Părțile vor asigura ca structurile de funcționare ale s</w:t>
      </w:r>
      <w:r w:rsidR="00923B6F">
        <w:rPr>
          <w:lang w:val="ro-RO"/>
        </w:rPr>
        <w:t>tadioanelor să fie integrate</w:t>
      </w:r>
      <w:r>
        <w:rPr>
          <w:lang w:val="ro-RO"/>
        </w:rPr>
        <w:t xml:space="preserve">; </w:t>
      </w:r>
      <w:r w:rsidR="001F5A45">
        <w:rPr>
          <w:lang w:val="ro-RO"/>
        </w:rPr>
        <w:t xml:space="preserve">să asigure o </w:t>
      </w:r>
      <w:r w:rsidR="00923B6F">
        <w:rPr>
          <w:lang w:val="ro-RO"/>
        </w:rPr>
        <w:t>comunicare</w:t>
      </w:r>
      <w:r w:rsidR="001F5A45">
        <w:rPr>
          <w:lang w:val="ro-RO"/>
        </w:rPr>
        <w:t xml:space="preserve"> eficientă cu poliția, serviciile de urgență și agențiile partener</w:t>
      </w:r>
      <w:r w:rsidR="009F4DE7">
        <w:rPr>
          <w:lang w:val="ro-RO"/>
        </w:rPr>
        <w:t>e</w:t>
      </w:r>
      <w:r w:rsidR="001F5A45">
        <w:rPr>
          <w:lang w:val="ro-RO"/>
        </w:rPr>
        <w:t xml:space="preserve">; </w:t>
      </w:r>
      <w:r w:rsidR="00C419B7">
        <w:rPr>
          <w:lang w:val="ro-RO"/>
        </w:rPr>
        <w:t>să integreze politici și proceduri clare privind probleme</w:t>
      </w:r>
      <w:r w:rsidR="006B7F5A">
        <w:rPr>
          <w:lang w:val="ro-RO"/>
        </w:rPr>
        <w:t>le care ar putea avea impact asupra gestionării mulțimii și riscurile asociate siguranț</w:t>
      </w:r>
      <w:r w:rsidR="009F4DE7">
        <w:rPr>
          <w:lang w:val="ro-RO"/>
        </w:rPr>
        <w:t>ei</w:t>
      </w:r>
      <w:r w:rsidR="006B7F5A">
        <w:rPr>
          <w:lang w:val="ro-RO"/>
        </w:rPr>
        <w:t xml:space="preserve"> și securit</w:t>
      </w:r>
      <w:r w:rsidR="009F4DE7">
        <w:rPr>
          <w:lang w:val="ro-RO"/>
        </w:rPr>
        <w:t>ăţii</w:t>
      </w:r>
      <w:r w:rsidR="006B7F5A">
        <w:rPr>
          <w:lang w:val="ro-RO"/>
        </w:rPr>
        <w:t xml:space="preserve">, în special: </w:t>
      </w:r>
    </w:p>
    <w:p w:rsidR="006B7F5A" w:rsidRDefault="006B7F5A" w:rsidP="006B7F5A">
      <w:pPr>
        <w:pStyle w:val="Listparagraf"/>
        <w:numPr>
          <w:ilvl w:val="0"/>
          <w:numId w:val="6"/>
        </w:numPr>
        <w:jc w:val="both"/>
        <w:rPr>
          <w:lang w:val="ro-RO"/>
        </w:rPr>
      </w:pPr>
      <w:r>
        <w:rPr>
          <w:lang w:val="ro-RO"/>
        </w:rPr>
        <w:t xml:space="preserve">Utilizarea pirotehniei; </w:t>
      </w:r>
    </w:p>
    <w:p w:rsidR="006B7F5A" w:rsidRDefault="0001506A" w:rsidP="006B7F5A">
      <w:pPr>
        <w:pStyle w:val="Listparagraf"/>
        <w:numPr>
          <w:ilvl w:val="0"/>
          <w:numId w:val="6"/>
        </w:numPr>
        <w:jc w:val="both"/>
        <w:rPr>
          <w:lang w:val="ro-RO"/>
        </w:rPr>
      </w:pPr>
      <w:r>
        <w:rPr>
          <w:lang w:val="ro-RO"/>
        </w:rPr>
        <w:t xml:space="preserve">Orice comportament violent sau interzis; sau </w:t>
      </w:r>
    </w:p>
    <w:p w:rsidR="0001506A" w:rsidRDefault="0001506A" w:rsidP="006B7F5A">
      <w:pPr>
        <w:pStyle w:val="Listparagraf"/>
        <w:numPr>
          <w:ilvl w:val="0"/>
          <w:numId w:val="6"/>
        </w:numPr>
        <w:jc w:val="both"/>
        <w:rPr>
          <w:lang w:val="ro-RO"/>
        </w:rPr>
      </w:pPr>
      <w:r>
        <w:rPr>
          <w:lang w:val="ro-RO"/>
        </w:rPr>
        <w:t xml:space="preserve">Orice comportament rasist și discriminatoriu. </w:t>
      </w:r>
    </w:p>
    <w:p w:rsidR="0001506A" w:rsidRDefault="00A01F4E" w:rsidP="00A01F4E">
      <w:pPr>
        <w:pStyle w:val="Listparagraf"/>
        <w:numPr>
          <w:ilvl w:val="0"/>
          <w:numId w:val="5"/>
        </w:numPr>
        <w:jc w:val="both"/>
        <w:rPr>
          <w:lang w:val="ro-RO"/>
        </w:rPr>
      </w:pPr>
      <w:r>
        <w:rPr>
          <w:lang w:val="ro-RO"/>
        </w:rPr>
        <w:t xml:space="preserve">Părțile vor solicita agențiilor </w:t>
      </w:r>
      <w:r w:rsidR="00EC68A6">
        <w:rPr>
          <w:lang w:val="ro-RO"/>
        </w:rPr>
        <w:t>competente</w:t>
      </w:r>
      <w:r>
        <w:rPr>
          <w:lang w:val="ro-RO"/>
        </w:rPr>
        <w:t xml:space="preserve"> să asigure ca </w:t>
      </w:r>
      <w:r w:rsidR="009C0EC2">
        <w:rPr>
          <w:lang w:val="ro-RO"/>
        </w:rPr>
        <w:t>întreg personalul, din sectorul privat și public, implicat în asigurarea meciuril</w:t>
      </w:r>
      <w:r w:rsidR="009F4DE7">
        <w:rPr>
          <w:lang w:val="ro-RO"/>
        </w:rPr>
        <w:t>or</w:t>
      </w:r>
      <w:r w:rsidR="009C0EC2">
        <w:rPr>
          <w:lang w:val="ro-RO"/>
        </w:rPr>
        <w:t xml:space="preserve"> de fotbal și alte evenimente sportive să fie sigure și agreabile, să fie echipat și antrenat pentru a-și îndeplini funcțiile eficient și într-un mod </w:t>
      </w:r>
      <w:r w:rsidR="00EC68A6">
        <w:rPr>
          <w:lang w:val="ro-RO"/>
        </w:rPr>
        <w:t>convenabil</w:t>
      </w:r>
      <w:r w:rsidR="009C0EC2">
        <w:rPr>
          <w:lang w:val="ro-RO"/>
        </w:rPr>
        <w:t xml:space="preserve">. </w:t>
      </w:r>
    </w:p>
    <w:p w:rsidR="00D86941" w:rsidRDefault="009C0EC2" w:rsidP="00A01F4E">
      <w:pPr>
        <w:pStyle w:val="Listparagraf"/>
        <w:numPr>
          <w:ilvl w:val="0"/>
          <w:numId w:val="5"/>
        </w:numPr>
        <w:jc w:val="both"/>
        <w:rPr>
          <w:lang w:val="ro-RO"/>
        </w:rPr>
      </w:pPr>
      <w:r w:rsidRPr="00D86941">
        <w:rPr>
          <w:lang w:val="ro-RO"/>
        </w:rPr>
        <w:t xml:space="preserve">Părțile vor încuraja agențiile competente </w:t>
      </w:r>
      <w:r w:rsidR="00EC68A6">
        <w:rPr>
          <w:lang w:val="ro-RO"/>
        </w:rPr>
        <w:t xml:space="preserve">să </w:t>
      </w:r>
      <w:r w:rsidR="00600C58">
        <w:rPr>
          <w:lang w:val="ro-RO"/>
        </w:rPr>
        <w:t>evidențieze</w:t>
      </w:r>
      <w:r w:rsidRPr="00D86941">
        <w:rPr>
          <w:lang w:val="ro-RO"/>
        </w:rPr>
        <w:t xml:space="preserve"> necesitatea </w:t>
      </w:r>
      <w:r w:rsidR="00EC68A6">
        <w:rPr>
          <w:lang w:val="ro-RO"/>
        </w:rPr>
        <w:t xml:space="preserve">ca </w:t>
      </w:r>
      <w:r w:rsidR="0098641D" w:rsidRPr="00D86941">
        <w:rPr>
          <w:lang w:val="ro-RO"/>
        </w:rPr>
        <w:t>jucător</w:t>
      </w:r>
      <w:r w:rsidR="00EC68A6">
        <w:rPr>
          <w:lang w:val="ro-RO"/>
        </w:rPr>
        <w:t>i</w:t>
      </w:r>
      <w:r w:rsidR="0098641D" w:rsidRPr="00D86941">
        <w:rPr>
          <w:lang w:val="ro-RO"/>
        </w:rPr>
        <w:t xml:space="preserve">i, </w:t>
      </w:r>
      <w:r w:rsidR="00D86941">
        <w:rPr>
          <w:lang w:val="ro-RO"/>
        </w:rPr>
        <w:t>antrenor</w:t>
      </w:r>
      <w:r w:rsidR="00EC68A6">
        <w:rPr>
          <w:lang w:val="ro-RO"/>
        </w:rPr>
        <w:t>i</w:t>
      </w:r>
      <w:r w:rsidR="00D86941">
        <w:rPr>
          <w:lang w:val="ro-RO"/>
        </w:rPr>
        <w:t>i sau alți reprezentanți a</w:t>
      </w:r>
      <w:r w:rsidR="0044051B">
        <w:rPr>
          <w:lang w:val="ro-RO"/>
        </w:rPr>
        <w:t>i</w:t>
      </w:r>
      <w:r w:rsidR="00D86941">
        <w:rPr>
          <w:lang w:val="ro-RO"/>
        </w:rPr>
        <w:t xml:space="preserve"> echipelor care participă </w:t>
      </w:r>
      <w:r w:rsidR="0044051B">
        <w:rPr>
          <w:lang w:val="ro-RO"/>
        </w:rPr>
        <w:t xml:space="preserve">să acționeze în conformitate cu principiile de sport cheie, cum ar fi toleranța, respectul și jocul cinstit, și să </w:t>
      </w:r>
      <w:r w:rsidR="00EC68A6">
        <w:rPr>
          <w:lang w:val="ro-RO"/>
        </w:rPr>
        <w:t xml:space="preserve">recunoască că acţionând într-o manieră </w:t>
      </w:r>
      <w:r w:rsidR="0044051B">
        <w:rPr>
          <w:lang w:val="ro-RO"/>
        </w:rPr>
        <w:t>violent</w:t>
      </w:r>
      <w:r w:rsidR="00EC68A6">
        <w:rPr>
          <w:lang w:val="ro-RO"/>
        </w:rPr>
        <w:t>ă</w:t>
      </w:r>
      <w:r w:rsidR="0044051B">
        <w:rPr>
          <w:lang w:val="ro-RO"/>
        </w:rPr>
        <w:t>, rasist</w:t>
      </w:r>
      <w:r w:rsidR="00EC68A6">
        <w:rPr>
          <w:lang w:val="ro-RO"/>
        </w:rPr>
        <w:t>ă</w:t>
      </w:r>
      <w:r w:rsidR="0044051B">
        <w:rPr>
          <w:lang w:val="ro-RO"/>
        </w:rPr>
        <w:t xml:space="preserve"> sau provocato</w:t>
      </w:r>
      <w:r w:rsidR="00EC68A6">
        <w:rPr>
          <w:lang w:val="ro-RO"/>
        </w:rPr>
        <w:t>are</w:t>
      </w:r>
      <w:r w:rsidR="0044051B">
        <w:rPr>
          <w:lang w:val="ro-RO"/>
        </w:rPr>
        <w:t xml:space="preserve"> poate avea un impact negativ asupra comportamentului spectatorului. </w:t>
      </w:r>
    </w:p>
    <w:p w:rsidR="00E42BC3" w:rsidRDefault="00E42BC3" w:rsidP="00E42BC3">
      <w:pPr>
        <w:jc w:val="both"/>
        <w:rPr>
          <w:lang w:val="ro-RO"/>
        </w:rPr>
      </w:pPr>
    </w:p>
    <w:p w:rsidR="00E42BC3" w:rsidRPr="00E42BC3" w:rsidRDefault="00E42BC3" w:rsidP="00E42BC3">
      <w:pPr>
        <w:jc w:val="both"/>
        <w:rPr>
          <w:lang w:val="ro-RO"/>
        </w:rPr>
      </w:pPr>
    </w:p>
    <w:p w:rsidR="0055175C" w:rsidRDefault="0055175C" w:rsidP="0055175C">
      <w:pPr>
        <w:jc w:val="both"/>
        <w:rPr>
          <w:lang w:val="ro-RO"/>
        </w:rPr>
      </w:pPr>
      <w:r>
        <w:rPr>
          <w:b/>
          <w:lang w:val="ro-RO"/>
        </w:rPr>
        <w:lastRenderedPageBreak/>
        <w:t xml:space="preserve">Articolul 6 – Siguranța, securitatea și deservirea în locurile publice </w:t>
      </w:r>
    </w:p>
    <w:p w:rsidR="0055175C" w:rsidRDefault="0055175C" w:rsidP="0055175C">
      <w:pPr>
        <w:pStyle w:val="Listparagraf"/>
        <w:numPr>
          <w:ilvl w:val="0"/>
          <w:numId w:val="7"/>
        </w:numPr>
        <w:jc w:val="both"/>
        <w:rPr>
          <w:lang w:val="ro-RO"/>
        </w:rPr>
      </w:pPr>
      <w:r>
        <w:rPr>
          <w:lang w:val="ro-RO"/>
        </w:rPr>
        <w:t>Părțile vor încuraja toate agențiile și părțile interesate implicate în organizarea meciurilor de fotbal</w:t>
      </w:r>
      <w:r w:rsidR="00762FA7">
        <w:rPr>
          <w:lang w:val="ro-RO"/>
        </w:rPr>
        <w:t xml:space="preserve"> și a altor evenimente sportive, inclusiv </w:t>
      </w:r>
      <w:r w:rsidR="008D67B8">
        <w:rPr>
          <w:lang w:val="ro-RO"/>
        </w:rPr>
        <w:t>autoritățile municipale, poliția, comunitățile locale și întreprinderil</w:t>
      </w:r>
      <w:r w:rsidR="009F4DE7">
        <w:rPr>
          <w:lang w:val="ro-RO"/>
        </w:rPr>
        <w:t>e</w:t>
      </w:r>
      <w:r w:rsidR="008D67B8">
        <w:rPr>
          <w:lang w:val="ro-RO"/>
        </w:rPr>
        <w:t xml:space="preserve">, reprezentanții suporterilor, cluburile de fotbal și asociațiile naționale, să coopereze împreună, în special în ceea ce privește: </w:t>
      </w:r>
    </w:p>
    <w:p w:rsidR="008D67B8" w:rsidRDefault="00EA4F85" w:rsidP="008D67B8">
      <w:pPr>
        <w:pStyle w:val="Listparagraf"/>
        <w:numPr>
          <w:ilvl w:val="0"/>
          <w:numId w:val="8"/>
        </w:numPr>
        <w:jc w:val="both"/>
        <w:rPr>
          <w:lang w:val="ro-RO"/>
        </w:rPr>
      </w:pPr>
      <w:r>
        <w:rPr>
          <w:lang w:val="ro-RO"/>
        </w:rPr>
        <w:t>e</w:t>
      </w:r>
      <w:r w:rsidR="008D67B8">
        <w:rPr>
          <w:lang w:val="ro-RO"/>
        </w:rPr>
        <w:t xml:space="preserve">valuarea riscurilor și pregătirea măsurilor corespunzătoare de prevenire, menite să minimizeze perturbarea și să reasigure comunitățile locale și întreprinderile, în special cele localizate în vecinătatea </w:t>
      </w:r>
      <w:r w:rsidR="002F5505">
        <w:rPr>
          <w:lang w:val="ro-RO"/>
        </w:rPr>
        <w:t>zonei unde evenimentul are loc sau în zone</w:t>
      </w:r>
      <w:r>
        <w:rPr>
          <w:lang w:val="ro-RO"/>
        </w:rPr>
        <w:t>le</w:t>
      </w:r>
      <w:r w:rsidR="002F5505">
        <w:rPr>
          <w:lang w:val="ro-RO"/>
        </w:rPr>
        <w:t xml:space="preserve"> </w:t>
      </w:r>
      <w:r w:rsidR="009F4DE7">
        <w:rPr>
          <w:lang w:val="ro-RO"/>
        </w:rPr>
        <w:t xml:space="preserve">publice </w:t>
      </w:r>
      <w:r w:rsidR="002F5505">
        <w:rPr>
          <w:lang w:val="ro-RO"/>
        </w:rPr>
        <w:t xml:space="preserve">de vizualizare; </w:t>
      </w:r>
    </w:p>
    <w:p w:rsidR="004B7228" w:rsidRDefault="00EA4F85" w:rsidP="008D67B8">
      <w:pPr>
        <w:pStyle w:val="Listparagraf"/>
        <w:numPr>
          <w:ilvl w:val="0"/>
          <w:numId w:val="8"/>
        </w:numPr>
        <w:jc w:val="both"/>
        <w:rPr>
          <w:lang w:val="ro-RO"/>
        </w:rPr>
      </w:pPr>
      <w:r>
        <w:rPr>
          <w:lang w:val="ro-RO"/>
        </w:rPr>
        <w:t>c</w:t>
      </w:r>
      <w:r w:rsidR="004B7228">
        <w:rPr>
          <w:lang w:val="ro-RO"/>
        </w:rPr>
        <w:t>rearea unui mediu sigur și agreabil în spațiile publice care sunt create pentru s</w:t>
      </w:r>
      <w:r w:rsidR="00407FA7">
        <w:rPr>
          <w:lang w:val="ro-RO"/>
        </w:rPr>
        <w:t xml:space="preserve">uporteri unde se adună înainte și după eveniment, sau </w:t>
      </w:r>
      <w:r>
        <w:rPr>
          <w:lang w:val="ro-RO"/>
        </w:rPr>
        <w:t xml:space="preserve">în </w:t>
      </w:r>
      <w:r w:rsidR="00407FA7">
        <w:rPr>
          <w:lang w:val="ro-RO"/>
        </w:rPr>
        <w:t>locații</w:t>
      </w:r>
      <w:r>
        <w:rPr>
          <w:lang w:val="ro-RO"/>
        </w:rPr>
        <w:t>le</w:t>
      </w:r>
      <w:r w:rsidR="00407FA7">
        <w:rPr>
          <w:lang w:val="ro-RO"/>
        </w:rPr>
        <w:t xml:space="preserve"> în care suporterii </w:t>
      </w:r>
      <w:r>
        <w:rPr>
          <w:lang w:val="ro-RO"/>
        </w:rPr>
        <w:t>se aşteaptă ca</w:t>
      </w:r>
      <w:r w:rsidR="00407FA7">
        <w:rPr>
          <w:lang w:val="ro-RO"/>
        </w:rPr>
        <w:t xml:space="preserve"> să frecventeze conform propriei </w:t>
      </w:r>
      <w:r>
        <w:rPr>
          <w:lang w:val="ro-RO"/>
        </w:rPr>
        <w:t xml:space="preserve">lor </w:t>
      </w:r>
      <w:r w:rsidR="00407FA7">
        <w:rPr>
          <w:lang w:val="ro-RO"/>
        </w:rPr>
        <w:t xml:space="preserve">voințe, și </w:t>
      </w:r>
      <w:r>
        <w:rPr>
          <w:lang w:val="ro-RO"/>
        </w:rPr>
        <w:t>de-a lungul căilor de</w:t>
      </w:r>
      <w:r w:rsidR="00111B13">
        <w:rPr>
          <w:lang w:val="ro-RO"/>
        </w:rPr>
        <w:t xml:space="preserve"> tranzit spre și din oraș și/sau către și de la stadion.</w:t>
      </w:r>
    </w:p>
    <w:p w:rsidR="00111B13" w:rsidRDefault="00111B13" w:rsidP="00111B13">
      <w:pPr>
        <w:pStyle w:val="Listparagraf"/>
        <w:numPr>
          <w:ilvl w:val="0"/>
          <w:numId w:val="7"/>
        </w:numPr>
        <w:jc w:val="both"/>
        <w:rPr>
          <w:lang w:val="ro-RO"/>
        </w:rPr>
      </w:pPr>
      <w:r>
        <w:rPr>
          <w:lang w:val="ro-RO"/>
        </w:rPr>
        <w:t>Părțile vor asigura ca evaluarea riscurilor și măsuril</w:t>
      </w:r>
      <w:r w:rsidR="00EA4F85">
        <w:rPr>
          <w:lang w:val="ro-RO"/>
        </w:rPr>
        <w:t>or</w:t>
      </w:r>
      <w:r>
        <w:rPr>
          <w:lang w:val="ro-RO"/>
        </w:rPr>
        <w:t xml:space="preserve"> de securitate și siguranță </w:t>
      </w:r>
      <w:r w:rsidR="00EA4F85">
        <w:rPr>
          <w:lang w:val="ro-RO"/>
        </w:rPr>
        <w:t>să ia</w:t>
      </w:r>
      <w:r>
        <w:rPr>
          <w:lang w:val="ro-RO"/>
        </w:rPr>
        <w:t xml:space="preserve"> în calcul drumul spre și de la stadion. </w:t>
      </w:r>
    </w:p>
    <w:p w:rsidR="00DA0B8E" w:rsidRDefault="00DA0B8E" w:rsidP="00DA0B8E">
      <w:pPr>
        <w:jc w:val="both"/>
        <w:rPr>
          <w:lang w:val="ro-RO"/>
        </w:rPr>
      </w:pPr>
      <w:r>
        <w:rPr>
          <w:b/>
          <w:lang w:val="ro-RO"/>
        </w:rPr>
        <w:t>Articolul 7 – Planificarea în caz de urgență sau accident</w:t>
      </w:r>
    </w:p>
    <w:p w:rsidR="00DA0B8E" w:rsidRDefault="00DA0B8E" w:rsidP="00DA0B8E">
      <w:pPr>
        <w:jc w:val="both"/>
        <w:rPr>
          <w:lang w:val="ro-RO"/>
        </w:rPr>
      </w:pPr>
      <w:r>
        <w:rPr>
          <w:lang w:val="ro-RO"/>
        </w:rPr>
        <w:t>Părțile</w:t>
      </w:r>
      <w:r w:rsidR="00B51CCC">
        <w:rPr>
          <w:lang w:val="ro-RO"/>
        </w:rPr>
        <w:t xml:space="preserve"> se</w:t>
      </w:r>
      <w:r>
        <w:rPr>
          <w:lang w:val="ro-RO"/>
        </w:rPr>
        <w:t xml:space="preserve"> vor asigura ca în caz de urgență și accident sunt dezvoltate </w:t>
      </w:r>
      <w:r w:rsidR="009F4DE7">
        <w:rPr>
          <w:lang w:val="ro-RO"/>
        </w:rPr>
        <w:t xml:space="preserve">planuri </w:t>
      </w:r>
      <w:r>
        <w:rPr>
          <w:lang w:val="ro-RO"/>
        </w:rPr>
        <w:t>și că aceste</w:t>
      </w:r>
      <w:r w:rsidR="009F4DE7">
        <w:rPr>
          <w:lang w:val="ro-RO"/>
        </w:rPr>
        <w:t>a</w:t>
      </w:r>
      <w:r>
        <w:rPr>
          <w:lang w:val="ro-RO"/>
        </w:rPr>
        <w:t xml:space="preserve"> sunt testate și </w:t>
      </w:r>
      <w:r w:rsidR="004554F1">
        <w:rPr>
          <w:lang w:val="ro-RO"/>
        </w:rPr>
        <w:t xml:space="preserve">îmbunătățite </w:t>
      </w:r>
      <w:r w:rsidR="009F4DE7">
        <w:rPr>
          <w:lang w:val="ro-RO"/>
        </w:rPr>
        <w:t xml:space="preserve">regulat </w:t>
      </w:r>
      <w:r w:rsidR="004554F1">
        <w:rPr>
          <w:lang w:val="ro-RO"/>
        </w:rPr>
        <w:t>prin exerciții comune. Cadrele naționale legale, de reglementare sau administrative v</w:t>
      </w:r>
      <w:r w:rsidR="009F4DE7">
        <w:rPr>
          <w:lang w:val="ro-RO"/>
        </w:rPr>
        <w:t>or</w:t>
      </w:r>
      <w:r w:rsidR="004554F1">
        <w:rPr>
          <w:lang w:val="ro-RO"/>
        </w:rPr>
        <w:t xml:space="preserve"> indica în mod clar care agenție este responsabilă pentru inițierea, supravegherea și certificarea exercițiilor. </w:t>
      </w:r>
    </w:p>
    <w:p w:rsidR="001C7058" w:rsidRDefault="001C7058" w:rsidP="00DA0B8E">
      <w:pPr>
        <w:jc w:val="both"/>
        <w:rPr>
          <w:lang w:val="ro-RO"/>
        </w:rPr>
      </w:pPr>
      <w:r>
        <w:rPr>
          <w:b/>
          <w:lang w:val="ro-RO"/>
        </w:rPr>
        <w:t xml:space="preserve">Articolul 8 – </w:t>
      </w:r>
      <w:r w:rsidR="00482703">
        <w:rPr>
          <w:b/>
          <w:lang w:val="ro-RO"/>
        </w:rPr>
        <w:t>Cooperarea</w:t>
      </w:r>
      <w:r>
        <w:rPr>
          <w:b/>
          <w:lang w:val="ro-RO"/>
        </w:rPr>
        <w:t xml:space="preserve"> cu suporterii și comunitățile locale </w:t>
      </w:r>
    </w:p>
    <w:p w:rsidR="001C7058" w:rsidRDefault="00814079" w:rsidP="00814079">
      <w:pPr>
        <w:pStyle w:val="Listparagraf"/>
        <w:numPr>
          <w:ilvl w:val="0"/>
          <w:numId w:val="9"/>
        </w:numPr>
        <w:jc w:val="both"/>
        <w:rPr>
          <w:lang w:val="ro-RO"/>
        </w:rPr>
      </w:pPr>
      <w:r>
        <w:rPr>
          <w:lang w:val="ro-RO"/>
        </w:rPr>
        <w:t xml:space="preserve">Părțile vor încuraja ca toate agențiile să dezvolte și să urmeze o politică de </w:t>
      </w:r>
      <w:r w:rsidR="00911D42">
        <w:rPr>
          <w:lang w:val="ro-RO"/>
        </w:rPr>
        <w:t xml:space="preserve">comunicare obișnuită și </w:t>
      </w:r>
      <w:proofErr w:type="spellStart"/>
      <w:r w:rsidR="00911D42">
        <w:rPr>
          <w:lang w:val="ro-RO"/>
        </w:rPr>
        <w:t>proactivă</w:t>
      </w:r>
      <w:proofErr w:type="spellEnd"/>
      <w:r w:rsidR="00911D42">
        <w:rPr>
          <w:lang w:val="ro-RO"/>
        </w:rPr>
        <w:t xml:space="preserve"> cu părțile cheie de bază, inclusiv</w:t>
      </w:r>
      <w:r w:rsidR="00B51CCC">
        <w:rPr>
          <w:lang w:val="ro-RO"/>
        </w:rPr>
        <w:t xml:space="preserve"> cu</w:t>
      </w:r>
      <w:r w:rsidR="00911D42">
        <w:rPr>
          <w:lang w:val="ro-RO"/>
        </w:rPr>
        <w:t xml:space="preserve"> reprezentanții </w:t>
      </w:r>
      <w:r w:rsidR="009F4DE7">
        <w:rPr>
          <w:lang w:val="ro-RO"/>
        </w:rPr>
        <w:t xml:space="preserve">ai </w:t>
      </w:r>
      <w:r w:rsidR="00911D42">
        <w:rPr>
          <w:lang w:val="ro-RO"/>
        </w:rPr>
        <w:t xml:space="preserve">suporterilor și comunităților locale, în baza principiului de dialog și în scopul generării unui etos de parteneriat și cooperare pozitivă cât și identificarea soluțiilor </w:t>
      </w:r>
      <w:r w:rsidR="00B51CCC">
        <w:rPr>
          <w:lang w:val="ro-RO"/>
        </w:rPr>
        <w:t>l</w:t>
      </w:r>
      <w:r w:rsidR="00911D42">
        <w:rPr>
          <w:lang w:val="ro-RO"/>
        </w:rPr>
        <w:t>a problemel</w:t>
      </w:r>
      <w:r w:rsidR="00B51CCC">
        <w:rPr>
          <w:lang w:val="ro-RO"/>
        </w:rPr>
        <w:t>e</w:t>
      </w:r>
      <w:r w:rsidR="00911D42">
        <w:rPr>
          <w:lang w:val="ro-RO"/>
        </w:rPr>
        <w:t xml:space="preserve"> potențiale. </w:t>
      </w:r>
    </w:p>
    <w:p w:rsidR="0009550B" w:rsidRDefault="0009550B" w:rsidP="00814079">
      <w:pPr>
        <w:pStyle w:val="Listparagraf"/>
        <w:numPr>
          <w:ilvl w:val="0"/>
          <w:numId w:val="9"/>
        </w:numPr>
        <w:jc w:val="both"/>
        <w:rPr>
          <w:lang w:val="ro-RO"/>
        </w:rPr>
      </w:pPr>
      <w:r>
        <w:rPr>
          <w:lang w:val="ro-RO"/>
        </w:rPr>
        <w:t xml:space="preserve">Părțile vor încuraja toate agențiile publice și private și alte părți interesate, inclusiv </w:t>
      </w:r>
      <w:r w:rsidR="00EF5D7F">
        <w:rPr>
          <w:lang w:val="ro-RO"/>
        </w:rPr>
        <w:t xml:space="preserve">comunitățile locale și reprezentanții suporterilor, să inițieze și să participe la proiecte </w:t>
      </w:r>
      <w:proofErr w:type="spellStart"/>
      <w:r w:rsidR="00981558">
        <w:rPr>
          <w:lang w:val="ro-RO"/>
        </w:rPr>
        <w:t>multi</w:t>
      </w:r>
      <w:r w:rsidR="00EF5D7F">
        <w:rPr>
          <w:lang w:val="ro-RO"/>
        </w:rPr>
        <w:t>-reprezentative</w:t>
      </w:r>
      <w:proofErr w:type="spellEnd"/>
      <w:r w:rsidR="00EF5D7F">
        <w:rPr>
          <w:lang w:val="ro-RO"/>
        </w:rPr>
        <w:t xml:space="preserve"> comunitare, de prevenire a infracțiunii, educaționale și sociale, </w:t>
      </w:r>
      <w:r w:rsidR="001C4BB6">
        <w:rPr>
          <w:lang w:val="ro-RO"/>
        </w:rPr>
        <w:t xml:space="preserve">create să cultive respectul și înțelegerea reciprocă, în special printre suporteri, cluburi de sport și asociații cât și agenții responsabile pentru siguranță și securitate. </w:t>
      </w:r>
    </w:p>
    <w:p w:rsidR="00DA0B8E" w:rsidRDefault="003B6237" w:rsidP="00DA0B8E">
      <w:pPr>
        <w:jc w:val="both"/>
        <w:rPr>
          <w:lang w:val="ro-RO"/>
        </w:rPr>
      </w:pPr>
      <w:r>
        <w:rPr>
          <w:b/>
          <w:lang w:val="ro-RO"/>
        </w:rPr>
        <w:t>Artico</w:t>
      </w:r>
      <w:r w:rsidR="00E74B7A">
        <w:rPr>
          <w:b/>
          <w:lang w:val="ro-RO"/>
        </w:rPr>
        <w:t>lul 9 – Strategii</w:t>
      </w:r>
      <w:r w:rsidR="00A526D9">
        <w:rPr>
          <w:b/>
          <w:lang w:val="ro-RO"/>
        </w:rPr>
        <w:t>le</w:t>
      </w:r>
      <w:r w:rsidR="00E74B7A">
        <w:rPr>
          <w:b/>
          <w:lang w:val="ro-RO"/>
        </w:rPr>
        <w:t xml:space="preserve"> și operațiunile poliției</w:t>
      </w:r>
      <w:r w:rsidR="00237222">
        <w:rPr>
          <w:b/>
          <w:lang w:val="ro-RO"/>
        </w:rPr>
        <w:t xml:space="preserve"> </w:t>
      </w:r>
    </w:p>
    <w:p w:rsidR="00393338" w:rsidRDefault="00393338" w:rsidP="00393338">
      <w:pPr>
        <w:pStyle w:val="Listparagraf"/>
        <w:numPr>
          <w:ilvl w:val="0"/>
          <w:numId w:val="10"/>
        </w:numPr>
        <w:jc w:val="both"/>
        <w:rPr>
          <w:lang w:val="ro-RO"/>
        </w:rPr>
      </w:pPr>
      <w:r>
        <w:rPr>
          <w:lang w:val="ro-RO"/>
        </w:rPr>
        <w:t>Părțile vor asigura ca strategi</w:t>
      </w:r>
      <w:r w:rsidR="005811C3">
        <w:rPr>
          <w:lang w:val="ro-RO"/>
        </w:rPr>
        <w:t xml:space="preserve">ile </w:t>
      </w:r>
      <w:r w:rsidR="00E74B7A">
        <w:rPr>
          <w:lang w:val="ro-RO"/>
        </w:rPr>
        <w:t>poliției</w:t>
      </w:r>
      <w:r w:rsidR="005811C3">
        <w:rPr>
          <w:lang w:val="ro-RO"/>
        </w:rPr>
        <w:t xml:space="preserve"> s</w:t>
      </w:r>
      <w:r w:rsidR="009F4DE7">
        <w:rPr>
          <w:lang w:val="ro-RO"/>
        </w:rPr>
        <w:t>ă fie</w:t>
      </w:r>
      <w:r w:rsidR="005811C3">
        <w:rPr>
          <w:lang w:val="ro-RO"/>
        </w:rPr>
        <w:t xml:space="preserve"> dezvoltate, evaluate cu regularitate și îmbunătățite prin prisma experienței și bunelor practici internaționale și naționale, și </w:t>
      </w:r>
      <w:r w:rsidR="00020615">
        <w:rPr>
          <w:lang w:val="ro-RO"/>
        </w:rPr>
        <w:t xml:space="preserve">să fie </w:t>
      </w:r>
      <w:r w:rsidR="005811C3">
        <w:rPr>
          <w:lang w:val="ro-RO"/>
        </w:rPr>
        <w:t xml:space="preserve">în concordanță cu </w:t>
      </w:r>
      <w:r w:rsidR="00A353D6">
        <w:rPr>
          <w:lang w:val="ro-RO"/>
        </w:rPr>
        <w:t xml:space="preserve">o vastă abordare integrată privind siguranța, securitatea și deservirea. </w:t>
      </w:r>
    </w:p>
    <w:p w:rsidR="0036320D" w:rsidRDefault="0036320D" w:rsidP="00393338">
      <w:pPr>
        <w:pStyle w:val="Listparagraf"/>
        <w:numPr>
          <w:ilvl w:val="0"/>
          <w:numId w:val="10"/>
        </w:numPr>
        <w:jc w:val="both"/>
        <w:rPr>
          <w:lang w:val="ro-RO"/>
        </w:rPr>
      </w:pPr>
      <w:r>
        <w:rPr>
          <w:lang w:val="ro-RO"/>
        </w:rPr>
        <w:t>Părțile vor asigura ca strategiile de politică să ia în considerare bunele practici inclusiv, în special: colectarea de informații, evaluarea continuă a riscurilor, dezvoltarea în baza riscului, intervenția proporționată pentru a preveni intensificarea riscului sau a dezordinii, dialog</w:t>
      </w:r>
      <w:r w:rsidR="00020615">
        <w:rPr>
          <w:lang w:val="ro-RO"/>
        </w:rPr>
        <w:t>ul</w:t>
      </w:r>
      <w:r>
        <w:rPr>
          <w:lang w:val="ro-RO"/>
        </w:rPr>
        <w:t xml:space="preserve"> eficient cu suporterii și comunitatea lor vastă și colectarea de probe privind activitatea infracțională cât și împărtășirea unor astfel de probe cu autoritățile competente responsabile de urmărire. </w:t>
      </w:r>
    </w:p>
    <w:p w:rsidR="00E74B7A" w:rsidRDefault="00923B6F" w:rsidP="00393338">
      <w:pPr>
        <w:pStyle w:val="Listparagraf"/>
        <w:numPr>
          <w:ilvl w:val="0"/>
          <w:numId w:val="10"/>
        </w:numPr>
        <w:jc w:val="both"/>
        <w:rPr>
          <w:lang w:val="ro-RO"/>
        </w:rPr>
      </w:pPr>
      <w:r>
        <w:rPr>
          <w:lang w:val="ro-RO"/>
        </w:rPr>
        <w:t>Părțile vor asigura ca</w:t>
      </w:r>
      <w:r w:rsidR="00E74B7A">
        <w:rPr>
          <w:lang w:val="ro-RO"/>
        </w:rPr>
        <w:t xml:space="preserve"> poliția</w:t>
      </w:r>
      <w:r>
        <w:rPr>
          <w:lang w:val="ro-RO"/>
        </w:rPr>
        <w:t xml:space="preserve"> să lucreze</w:t>
      </w:r>
      <w:r w:rsidR="00E74B7A">
        <w:rPr>
          <w:lang w:val="ro-RO"/>
        </w:rPr>
        <w:t xml:space="preserve"> în parteneriat cu organizatorii, suporterii, comunitățile locale și alte părți interesate în organizarea </w:t>
      </w:r>
      <w:r w:rsidR="00020615">
        <w:rPr>
          <w:lang w:val="ro-RO"/>
        </w:rPr>
        <w:t xml:space="preserve">meciurilor de fotbal și a altor evenimente sportive în condiţii de siguranţă, </w:t>
      </w:r>
      <w:r w:rsidR="00E74B7A">
        <w:rPr>
          <w:lang w:val="ro-RO"/>
        </w:rPr>
        <w:t>s</w:t>
      </w:r>
      <w:r w:rsidR="00020615">
        <w:rPr>
          <w:lang w:val="ro-RO"/>
        </w:rPr>
        <w:t>ecuritate</w:t>
      </w:r>
      <w:r w:rsidR="00E74B7A">
        <w:rPr>
          <w:lang w:val="ro-RO"/>
        </w:rPr>
        <w:t xml:space="preserve"> și </w:t>
      </w:r>
      <w:r>
        <w:rPr>
          <w:lang w:val="ro-RO"/>
        </w:rPr>
        <w:t>primitoare</w:t>
      </w:r>
      <w:r w:rsidR="00E74B7A">
        <w:rPr>
          <w:lang w:val="ro-RO"/>
        </w:rPr>
        <w:t xml:space="preserve"> a pentru toți</w:t>
      </w:r>
      <w:r w:rsidR="009F4DE7">
        <w:rPr>
          <w:lang w:val="ro-RO"/>
        </w:rPr>
        <w:t xml:space="preserve"> cei interesaţi</w:t>
      </w:r>
      <w:r w:rsidR="00E74B7A">
        <w:rPr>
          <w:lang w:val="ro-RO"/>
        </w:rPr>
        <w:t xml:space="preserve">. </w:t>
      </w:r>
    </w:p>
    <w:p w:rsidR="00E74B7A" w:rsidRDefault="00B66EF4" w:rsidP="00B66EF4">
      <w:pPr>
        <w:jc w:val="both"/>
        <w:rPr>
          <w:lang w:val="ro-RO"/>
        </w:rPr>
      </w:pPr>
      <w:r>
        <w:rPr>
          <w:b/>
          <w:lang w:val="ro-RO"/>
        </w:rPr>
        <w:lastRenderedPageBreak/>
        <w:t xml:space="preserve">Articolul 10 – Prevenirea și sancționarea comportamentului ofensator </w:t>
      </w:r>
    </w:p>
    <w:p w:rsidR="00B66EF4" w:rsidRDefault="00B66EF4" w:rsidP="00B66EF4">
      <w:pPr>
        <w:pStyle w:val="Listparagraf"/>
        <w:numPr>
          <w:ilvl w:val="0"/>
          <w:numId w:val="11"/>
        </w:numPr>
        <w:jc w:val="both"/>
        <w:rPr>
          <w:lang w:val="ro-RO"/>
        </w:rPr>
      </w:pPr>
      <w:r>
        <w:rPr>
          <w:lang w:val="ro-RO"/>
        </w:rPr>
        <w:t xml:space="preserve">Părțile vor întreprinde toate măsurile posibile pentru a reduce riscul </w:t>
      </w:r>
      <w:r w:rsidR="00020615">
        <w:rPr>
          <w:lang w:val="ro-RO"/>
        </w:rPr>
        <w:t xml:space="preserve">la </w:t>
      </w:r>
      <w:r>
        <w:rPr>
          <w:lang w:val="ro-RO"/>
        </w:rPr>
        <w:t>persoanel</w:t>
      </w:r>
      <w:r w:rsidR="00020615">
        <w:rPr>
          <w:lang w:val="ro-RO"/>
        </w:rPr>
        <w:t>e</w:t>
      </w:r>
      <w:r>
        <w:rPr>
          <w:lang w:val="ro-RO"/>
        </w:rPr>
        <w:t xml:space="preserve"> </w:t>
      </w:r>
      <w:r w:rsidR="00020615">
        <w:rPr>
          <w:lang w:val="ro-RO"/>
        </w:rPr>
        <w:t xml:space="preserve">fizice </w:t>
      </w:r>
      <w:r>
        <w:rPr>
          <w:lang w:val="ro-RO"/>
        </w:rPr>
        <w:t xml:space="preserve">sau grupuri </w:t>
      </w:r>
      <w:r w:rsidR="009F4DE7">
        <w:rPr>
          <w:lang w:val="ro-RO"/>
        </w:rPr>
        <w:t>care</w:t>
      </w:r>
      <w:r>
        <w:rPr>
          <w:lang w:val="ro-RO"/>
        </w:rPr>
        <w:t xml:space="preserve"> particip</w:t>
      </w:r>
      <w:r w:rsidR="009F4DE7">
        <w:rPr>
          <w:lang w:val="ro-RO"/>
        </w:rPr>
        <w:t>ă</w:t>
      </w:r>
      <w:r>
        <w:rPr>
          <w:lang w:val="ro-RO"/>
        </w:rPr>
        <w:t xml:space="preserve"> în organizarea incidentelor de violență sau dezordine. </w:t>
      </w:r>
    </w:p>
    <w:p w:rsidR="00781403" w:rsidRDefault="00781403" w:rsidP="00B66EF4">
      <w:pPr>
        <w:pStyle w:val="Listparagraf"/>
        <w:numPr>
          <w:ilvl w:val="0"/>
          <w:numId w:val="11"/>
        </w:numPr>
        <w:jc w:val="both"/>
        <w:rPr>
          <w:lang w:val="ro-RO"/>
        </w:rPr>
      </w:pPr>
      <w:r>
        <w:rPr>
          <w:lang w:val="ro-RO"/>
        </w:rPr>
        <w:t>Părț</w:t>
      </w:r>
      <w:r w:rsidR="00BA5B58">
        <w:rPr>
          <w:lang w:val="ro-RO"/>
        </w:rPr>
        <w:t>ile</w:t>
      </w:r>
      <w:r>
        <w:rPr>
          <w:lang w:val="ro-RO"/>
        </w:rPr>
        <w:t>, în conformitate</w:t>
      </w:r>
      <w:r w:rsidR="00BA5B58">
        <w:rPr>
          <w:lang w:val="ro-RO"/>
        </w:rPr>
        <w:t xml:space="preserve"> cu legislația națională și internațională, vor asigura </w:t>
      </w:r>
      <w:r w:rsidR="00A07371">
        <w:rPr>
          <w:lang w:val="ro-RO"/>
        </w:rPr>
        <w:t>ca mecanismele eficiente de excludere, adecvate</w:t>
      </w:r>
      <w:r w:rsidR="00414325">
        <w:rPr>
          <w:lang w:val="ro-RO"/>
        </w:rPr>
        <w:t xml:space="preserve"> caracterului și locației riscului, </w:t>
      </w:r>
      <w:r w:rsidR="00877DB2">
        <w:rPr>
          <w:lang w:val="ro-RO"/>
        </w:rPr>
        <w:t xml:space="preserve">sunt în stare să împiedice și să prevină incidentele de violență și dezordine. </w:t>
      </w:r>
    </w:p>
    <w:p w:rsidR="00074701" w:rsidRDefault="00074701" w:rsidP="00B66EF4">
      <w:pPr>
        <w:pStyle w:val="Listparagraf"/>
        <w:numPr>
          <w:ilvl w:val="0"/>
          <w:numId w:val="11"/>
        </w:numPr>
        <w:jc w:val="both"/>
        <w:rPr>
          <w:lang w:val="ro-RO"/>
        </w:rPr>
      </w:pPr>
      <w:r>
        <w:rPr>
          <w:lang w:val="ro-RO"/>
        </w:rPr>
        <w:t xml:space="preserve">Părțile, în conformitate cu legislația națională și internațională, vor coopera </w:t>
      </w:r>
      <w:r w:rsidR="00387056">
        <w:rPr>
          <w:lang w:val="ro-RO"/>
        </w:rPr>
        <w:t xml:space="preserve">pentru a </w:t>
      </w:r>
      <w:r w:rsidR="00010160">
        <w:rPr>
          <w:lang w:val="ro-RO"/>
        </w:rPr>
        <w:t xml:space="preserve">se </w:t>
      </w:r>
      <w:r w:rsidR="00387056">
        <w:rPr>
          <w:lang w:val="ro-RO"/>
        </w:rPr>
        <w:t>asigura c</w:t>
      </w:r>
      <w:r w:rsidR="00010160">
        <w:rPr>
          <w:lang w:val="ro-RO"/>
        </w:rPr>
        <w:t>ă</w:t>
      </w:r>
      <w:r w:rsidR="00387056">
        <w:rPr>
          <w:lang w:val="ro-RO"/>
        </w:rPr>
        <w:t xml:space="preserve"> persoanele care comit infracțiuni în străinătate să fie </w:t>
      </w:r>
      <w:r w:rsidR="002578DC">
        <w:rPr>
          <w:lang w:val="ro-RO"/>
        </w:rPr>
        <w:t xml:space="preserve">sancționate corespunzător, fie în țara unde infracțiunea a fost comisă, fie în țara de reședință sau în țara de origine. </w:t>
      </w:r>
    </w:p>
    <w:p w:rsidR="002578DC" w:rsidRDefault="002578DC" w:rsidP="00B66EF4">
      <w:pPr>
        <w:pStyle w:val="Listparagraf"/>
        <w:numPr>
          <w:ilvl w:val="0"/>
          <w:numId w:val="11"/>
        </w:numPr>
        <w:jc w:val="both"/>
        <w:rPr>
          <w:lang w:val="ro-RO"/>
        </w:rPr>
      </w:pPr>
      <w:r>
        <w:rPr>
          <w:lang w:val="ro-RO"/>
        </w:rPr>
        <w:t>Dacă este cazul, în conformitate cu legislația națională și internațională</w:t>
      </w:r>
      <w:r w:rsidR="008254BD">
        <w:rPr>
          <w:lang w:val="ro-RO"/>
        </w:rPr>
        <w:t>, Părțile vor lua în considerare abilitarea autorităților administrative sau juridice, responsabile de sancționarea persoanelor care au cauzat sau contribuit la incidente violente și/sau dezordine legate de fotbal</w:t>
      </w:r>
      <w:r w:rsidR="00AE45E1">
        <w:rPr>
          <w:lang w:val="ro-RO"/>
        </w:rPr>
        <w:t xml:space="preserve">, cu posibilitatea de a impune restricții de călătorie la evenimente sportive desfășurate în altă țară. </w:t>
      </w:r>
    </w:p>
    <w:p w:rsidR="00C87D38" w:rsidRDefault="00C87D38" w:rsidP="00C87D38">
      <w:pPr>
        <w:jc w:val="both"/>
        <w:rPr>
          <w:lang w:val="ro-RO"/>
        </w:rPr>
      </w:pPr>
      <w:r>
        <w:rPr>
          <w:b/>
          <w:lang w:val="ro-RO"/>
        </w:rPr>
        <w:t xml:space="preserve">Articolul 11 – Cooperarea internațională </w:t>
      </w:r>
    </w:p>
    <w:p w:rsidR="00C87D38" w:rsidRDefault="00C87D38" w:rsidP="00C87D38">
      <w:pPr>
        <w:pStyle w:val="Listparagraf"/>
        <w:numPr>
          <w:ilvl w:val="0"/>
          <w:numId w:val="12"/>
        </w:numPr>
        <w:jc w:val="both"/>
        <w:rPr>
          <w:lang w:val="ro-RO"/>
        </w:rPr>
      </w:pPr>
      <w:r>
        <w:rPr>
          <w:lang w:val="ro-RO"/>
        </w:rPr>
        <w:t xml:space="preserve">Părțile vor coopera strâns privind toate </w:t>
      </w:r>
      <w:r w:rsidR="00020615">
        <w:rPr>
          <w:lang w:val="ro-RO"/>
        </w:rPr>
        <w:t xml:space="preserve">aspectele </w:t>
      </w:r>
      <w:r>
        <w:rPr>
          <w:lang w:val="ro-RO"/>
        </w:rPr>
        <w:t xml:space="preserve">acoperite de această Convenție și alte probleme de referință, pentru a maximiza colaborarea </w:t>
      </w:r>
      <w:r w:rsidR="00020615">
        <w:rPr>
          <w:lang w:val="ro-RO"/>
        </w:rPr>
        <w:t xml:space="preserve">cu referire la </w:t>
      </w:r>
      <w:r>
        <w:rPr>
          <w:lang w:val="ro-RO"/>
        </w:rPr>
        <w:t xml:space="preserve">evenimentele internaționale, împărtășirea experiențelor și participarea la dezvoltarea bunelor practici. </w:t>
      </w:r>
    </w:p>
    <w:p w:rsidR="00F42A6E" w:rsidRDefault="00F42A6E" w:rsidP="00C87D38">
      <w:pPr>
        <w:pStyle w:val="Listparagraf"/>
        <w:numPr>
          <w:ilvl w:val="0"/>
          <w:numId w:val="12"/>
        </w:numPr>
        <w:jc w:val="both"/>
        <w:rPr>
          <w:lang w:val="ro-RO"/>
        </w:rPr>
      </w:pPr>
      <w:r>
        <w:rPr>
          <w:lang w:val="ro-RO"/>
        </w:rPr>
        <w:t xml:space="preserve">Părțile, fără a prejudicia prevederile naționale existente, în special repartizarea competențelor între diverse servicii și autorități, vor stabili sau crea un </w:t>
      </w:r>
      <w:r w:rsidR="00010160">
        <w:rPr>
          <w:lang w:val="ro-RO"/>
        </w:rPr>
        <w:t>P</w:t>
      </w:r>
      <w:r>
        <w:rPr>
          <w:lang w:val="ro-RO"/>
        </w:rPr>
        <w:t xml:space="preserve">unct </w:t>
      </w:r>
      <w:r w:rsidR="00010160">
        <w:rPr>
          <w:lang w:val="ro-RO"/>
        </w:rPr>
        <w:t xml:space="preserve">Național </w:t>
      </w:r>
      <w:r>
        <w:rPr>
          <w:lang w:val="ro-RO"/>
        </w:rPr>
        <w:t xml:space="preserve">de </w:t>
      </w:r>
      <w:r w:rsidR="00010160">
        <w:rPr>
          <w:lang w:val="ro-RO"/>
        </w:rPr>
        <w:t>I</w:t>
      </w:r>
      <w:r>
        <w:rPr>
          <w:lang w:val="ro-RO"/>
        </w:rPr>
        <w:t xml:space="preserve">nformare </w:t>
      </w:r>
      <w:r w:rsidR="00010160">
        <w:rPr>
          <w:lang w:val="ro-RO"/>
        </w:rPr>
        <w:t>despre</w:t>
      </w:r>
      <w:r w:rsidR="002C3039">
        <w:rPr>
          <w:lang w:val="ro-RO"/>
        </w:rPr>
        <w:t xml:space="preserve"> </w:t>
      </w:r>
      <w:r w:rsidR="00010160">
        <w:rPr>
          <w:lang w:val="ro-RO"/>
        </w:rPr>
        <w:t>F</w:t>
      </w:r>
      <w:r>
        <w:rPr>
          <w:lang w:val="ro-RO"/>
        </w:rPr>
        <w:t xml:space="preserve">otbal </w:t>
      </w:r>
      <w:r w:rsidR="00010160">
        <w:rPr>
          <w:lang w:val="ro-RO"/>
        </w:rPr>
        <w:t>în cadrul</w:t>
      </w:r>
      <w:r>
        <w:rPr>
          <w:lang w:val="ro-RO"/>
        </w:rPr>
        <w:t xml:space="preserve"> secțiil</w:t>
      </w:r>
      <w:r w:rsidR="00010160">
        <w:rPr>
          <w:lang w:val="ro-RO"/>
        </w:rPr>
        <w:t>or</w:t>
      </w:r>
      <w:r>
        <w:rPr>
          <w:lang w:val="ro-RO"/>
        </w:rPr>
        <w:t xml:space="preserve"> de poliție (P</w:t>
      </w:r>
      <w:r w:rsidR="00010160">
        <w:rPr>
          <w:lang w:val="ro-RO"/>
        </w:rPr>
        <w:t>N</w:t>
      </w:r>
      <w:r>
        <w:rPr>
          <w:lang w:val="ro-RO"/>
        </w:rPr>
        <w:t>IF). P</w:t>
      </w:r>
      <w:r w:rsidR="00010160">
        <w:rPr>
          <w:lang w:val="ro-RO"/>
        </w:rPr>
        <w:t>N</w:t>
      </w:r>
      <w:r w:rsidR="007366F6">
        <w:rPr>
          <w:lang w:val="ro-RO"/>
        </w:rPr>
        <w:t>IF</w:t>
      </w:r>
      <w:r>
        <w:rPr>
          <w:lang w:val="ro-RO"/>
        </w:rPr>
        <w:t xml:space="preserve"> va: </w:t>
      </w:r>
    </w:p>
    <w:p w:rsidR="00F42A6E" w:rsidRDefault="00020615" w:rsidP="00F42A6E">
      <w:pPr>
        <w:pStyle w:val="Listparagraf"/>
        <w:numPr>
          <w:ilvl w:val="0"/>
          <w:numId w:val="13"/>
        </w:numPr>
        <w:jc w:val="both"/>
        <w:rPr>
          <w:lang w:val="ro-RO"/>
        </w:rPr>
      </w:pPr>
      <w:r>
        <w:rPr>
          <w:lang w:val="ro-RO"/>
        </w:rPr>
        <w:t>a</w:t>
      </w:r>
      <w:r w:rsidR="00F42A6E">
        <w:rPr>
          <w:lang w:val="ro-RO"/>
        </w:rPr>
        <w:t xml:space="preserve">cționa ca </w:t>
      </w:r>
      <w:r w:rsidR="00E93082">
        <w:rPr>
          <w:lang w:val="ro-RO"/>
        </w:rPr>
        <w:t xml:space="preserve">un punct de contact unic și direct pentru schimbul de informații generale (strategice, operaționale și tactice) </w:t>
      </w:r>
      <w:r w:rsidR="0077074A">
        <w:rPr>
          <w:lang w:val="ro-RO"/>
        </w:rPr>
        <w:t xml:space="preserve">cu referire la </w:t>
      </w:r>
      <w:r w:rsidR="00E93082">
        <w:rPr>
          <w:lang w:val="ro-RO"/>
        </w:rPr>
        <w:t>meci</w:t>
      </w:r>
      <w:r w:rsidR="0077074A">
        <w:rPr>
          <w:lang w:val="ro-RO"/>
        </w:rPr>
        <w:t>urile</w:t>
      </w:r>
      <w:r w:rsidR="00E93082">
        <w:rPr>
          <w:lang w:val="ro-RO"/>
        </w:rPr>
        <w:t xml:space="preserve"> de fotbal cu dimensiune internațională; </w:t>
      </w:r>
    </w:p>
    <w:p w:rsidR="00E93082" w:rsidRDefault="00020615" w:rsidP="00F42A6E">
      <w:pPr>
        <w:pStyle w:val="Listparagraf"/>
        <w:numPr>
          <w:ilvl w:val="0"/>
          <w:numId w:val="13"/>
        </w:numPr>
        <w:jc w:val="both"/>
        <w:rPr>
          <w:lang w:val="ro-RO"/>
        </w:rPr>
      </w:pPr>
      <w:r>
        <w:rPr>
          <w:lang w:val="ro-RO"/>
        </w:rPr>
        <w:t>s</w:t>
      </w:r>
      <w:r w:rsidR="00810E69">
        <w:rPr>
          <w:lang w:val="ro-RO"/>
        </w:rPr>
        <w:t>chimba</w:t>
      </w:r>
      <w:r w:rsidR="00E93082">
        <w:rPr>
          <w:lang w:val="ro-RO"/>
        </w:rPr>
        <w:t xml:space="preserve"> date personale în conformitate cu regulile aplicabile naționale și internaționale; </w:t>
      </w:r>
    </w:p>
    <w:p w:rsidR="00810E69" w:rsidRDefault="00020615" w:rsidP="00F42A6E">
      <w:pPr>
        <w:pStyle w:val="Listparagraf"/>
        <w:numPr>
          <w:ilvl w:val="0"/>
          <w:numId w:val="13"/>
        </w:numPr>
        <w:jc w:val="both"/>
        <w:rPr>
          <w:lang w:val="ro-RO"/>
        </w:rPr>
      </w:pPr>
      <w:r>
        <w:rPr>
          <w:lang w:val="ro-RO"/>
        </w:rPr>
        <w:t>f</w:t>
      </w:r>
      <w:r w:rsidR="00810E69">
        <w:rPr>
          <w:lang w:val="ro-RO"/>
        </w:rPr>
        <w:t xml:space="preserve">acilita, coordona sau organiza implementarea cooperării internaționale a poliției privind meciurile de fotbal cu dimensiune internațională; </w:t>
      </w:r>
    </w:p>
    <w:p w:rsidR="00A97334" w:rsidRDefault="00020615" w:rsidP="00F42A6E">
      <w:pPr>
        <w:pStyle w:val="Listparagraf"/>
        <w:numPr>
          <w:ilvl w:val="0"/>
          <w:numId w:val="13"/>
        </w:numPr>
        <w:jc w:val="both"/>
        <w:rPr>
          <w:lang w:val="ro-RO"/>
        </w:rPr>
      </w:pPr>
      <w:r>
        <w:rPr>
          <w:lang w:val="ro-RO"/>
        </w:rPr>
        <w:t xml:space="preserve">fi </w:t>
      </w:r>
      <w:r w:rsidR="00A97334">
        <w:rPr>
          <w:lang w:val="ro-RO"/>
        </w:rPr>
        <w:t xml:space="preserve">capabilă să îndeplinească eficient și prompt sarcinile atribuite. </w:t>
      </w:r>
    </w:p>
    <w:p w:rsidR="00A97334" w:rsidRDefault="00CF6CCA" w:rsidP="00A97334">
      <w:pPr>
        <w:pStyle w:val="Listparagraf"/>
        <w:numPr>
          <w:ilvl w:val="0"/>
          <w:numId w:val="12"/>
        </w:numPr>
        <w:jc w:val="both"/>
        <w:rPr>
          <w:lang w:val="ro-RO"/>
        </w:rPr>
      </w:pPr>
      <w:r>
        <w:rPr>
          <w:lang w:val="ro-RO"/>
        </w:rPr>
        <w:t xml:space="preserve">Părțile </w:t>
      </w:r>
      <w:r w:rsidR="007366F6">
        <w:rPr>
          <w:lang w:val="ro-RO"/>
        </w:rPr>
        <w:t>vor asigura în continuare ca P</w:t>
      </w:r>
      <w:r w:rsidR="00010160">
        <w:rPr>
          <w:lang w:val="ro-RO"/>
        </w:rPr>
        <w:t>N</w:t>
      </w:r>
      <w:r w:rsidR="007366F6">
        <w:rPr>
          <w:lang w:val="ro-RO"/>
        </w:rPr>
        <w:t>IF</w:t>
      </w:r>
      <w:r w:rsidR="002F0958">
        <w:rPr>
          <w:lang w:val="ro-RO"/>
        </w:rPr>
        <w:t xml:space="preserve"> să ofere o sursă națională de expertiză privind operațiunile de poliție în ceea ce privește fotbalul, dinamica suporterilor și riscurile asociate </w:t>
      </w:r>
      <w:r w:rsidR="0077074A">
        <w:rPr>
          <w:lang w:val="ro-RO"/>
        </w:rPr>
        <w:t xml:space="preserve">cu </w:t>
      </w:r>
      <w:r w:rsidR="002F0958">
        <w:rPr>
          <w:lang w:val="ro-RO"/>
        </w:rPr>
        <w:t>siguranț</w:t>
      </w:r>
      <w:r w:rsidR="0077074A">
        <w:rPr>
          <w:lang w:val="ro-RO"/>
        </w:rPr>
        <w:t>a</w:t>
      </w:r>
      <w:r w:rsidR="002F0958">
        <w:rPr>
          <w:lang w:val="ro-RO"/>
        </w:rPr>
        <w:t xml:space="preserve"> și securitate</w:t>
      </w:r>
      <w:r w:rsidR="0077074A">
        <w:rPr>
          <w:lang w:val="ro-RO"/>
        </w:rPr>
        <w:t>a</w:t>
      </w:r>
      <w:r w:rsidR="002F0958">
        <w:rPr>
          <w:lang w:val="ro-RO"/>
        </w:rPr>
        <w:t xml:space="preserve">. </w:t>
      </w:r>
    </w:p>
    <w:p w:rsidR="0060653E" w:rsidRDefault="00923B6F" w:rsidP="00A97334">
      <w:pPr>
        <w:pStyle w:val="Listparagraf"/>
        <w:numPr>
          <w:ilvl w:val="0"/>
          <w:numId w:val="12"/>
        </w:numPr>
        <w:jc w:val="both"/>
        <w:rPr>
          <w:lang w:val="ro-RO"/>
        </w:rPr>
      </w:pPr>
      <w:r>
        <w:rPr>
          <w:lang w:val="ro-RO"/>
        </w:rPr>
        <w:t>Fiecare</w:t>
      </w:r>
      <w:r w:rsidR="0060653E">
        <w:rPr>
          <w:lang w:val="ro-RO"/>
        </w:rPr>
        <w:t xml:space="preserve"> Stat Parte va informa Comitetul privind Siguranța și Securitatea în timpul Evenimentelor Sportive, creat de prezenta Convenție</w:t>
      </w:r>
      <w:r w:rsidR="009F4D8B">
        <w:rPr>
          <w:lang w:val="ro-RO"/>
        </w:rPr>
        <w:t>, în scris, numele și datele de contact ale P</w:t>
      </w:r>
      <w:r w:rsidR="00010160">
        <w:rPr>
          <w:lang w:val="ro-RO"/>
        </w:rPr>
        <w:t>N</w:t>
      </w:r>
      <w:r w:rsidR="009F4D8B">
        <w:rPr>
          <w:lang w:val="ro-RO"/>
        </w:rPr>
        <w:t xml:space="preserve">IF său și orice </w:t>
      </w:r>
      <w:r w:rsidR="002C3039">
        <w:rPr>
          <w:lang w:val="ro-RO"/>
        </w:rPr>
        <w:t>schimbări</w:t>
      </w:r>
      <w:r w:rsidR="009F4D8B">
        <w:rPr>
          <w:lang w:val="ro-RO"/>
        </w:rPr>
        <w:t xml:space="preserve"> ulterioar</w:t>
      </w:r>
      <w:r w:rsidR="0077074A">
        <w:rPr>
          <w:lang w:val="ro-RO"/>
        </w:rPr>
        <w:t>e cu referire la acesta</w:t>
      </w:r>
      <w:r w:rsidR="009F4D8B">
        <w:rPr>
          <w:lang w:val="ro-RO"/>
        </w:rPr>
        <w:t xml:space="preserve"> . </w:t>
      </w:r>
    </w:p>
    <w:p w:rsidR="00955C1A" w:rsidRDefault="00955C1A" w:rsidP="00A97334">
      <w:pPr>
        <w:pStyle w:val="Listparagraf"/>
        <w:numPr>
          <w:ilvl w:val="0"/>
          <w:numId w:val="12"/>
        </w:numPr>
        <w:jc w:val="both"/>
        <w:rPr>
          <w:lang w:val="ro-RO"/>
        </w:rPr>
      </w:pPr>
      <w:r>
        <w:rPr>
          <w:lang w:val="ro-RO"/>
        </w:rPr>
        <w:t>Părțile vor coopera la nivel internațional privind împărtășirea bunelor practici și informațiilor privind proiectele</w:t>
      </w:r>
      <w:r w:rsidR="002428FA">
        <w:rPr>
          <w:lang w:val="ro-RO"/>
        </w:rPr>
        <w:t xml:space="preserve"> informative, educaționale și de prevenire și stabilire</w:t>
      </w:r>
      <w:r w:rsidR="00010160">
        <w:rPr>
          <w:lang w:val="ro-RO"/>
        </w:rPr>
        <w:t xml:space="preserve"> </w:t>
      </w:r>
      <w:r w:rsidR="002428FA">
        <w:rPr>
          <w:lang w:val="ro-RO"/>
        </w:rPr>
        <w:t xml:space="preserve">a parteneriatelor cu toate agențiile implicate în </w:t>
      </w:r>
      <w:r w:rsidR="0077074A">
        <w:rPr>
          <w:lang w:val="ro-RO"/>
        </w:rPr>
        <w:t xml:space="preserve">diseminarea </w:t>
      </w:r>
      <w:r w:rsidR="002428FA">
        <w:rPr>
          <w:lang w:val="ro-RO"/>
        </w:rPr>
        <w:t xml:space="preserve">inițiativelor locale și naționale, centrate pe sau gestionate de către comunitatea locală și suporteri. </w:t>
      </w:r>
    </w:p>
    <w:p w:rsidR="00E42BC3" w:rsidRDefault="00E42BC3" w:rsidP="00C61E34">
      <w:pPr>
        <w:jc w:val="both"/>
        <w:rPr>
          <w:b/>
          <w:lang w:val="ro-RO"/>
        </w:rPr>
      </w:pPr>
    </w:p>
    <w:p w:rsidR="00E42BC3" w:rsidRDefault="00E42BC3" w:rsidP="00C61E34">
      <w:pPr>
        <w:jc w:val="both"/>
        <w:rPr>
          <w:b/>
          <w:lang w:val="ro-RO"/>
        </w:rPr>
      </w:pPr>
    </w:p>
    <w:p w:rsidR="00E42BC3" w:rsidRDefault="00E42BC3" w:rsidP="00C61E34">
      <w:pPr>
        <w:jc w:val="both"/>
        <w:rPr>
          <w:b/>
          <w:lang w:val="ro-RO"/>
        </w:rPr>
      </w:pPr>
    </w:p>
    <w:p w:rsidR="00E42BC3" w:rsidRDefault="00E42BC3" w:rsidP="00C61E34">
      <w:pPr>
        <w:jc w:val="both"/>
        <w:rPr>
          <w:b/>
          <w:lang w:val="ro-RO"/>
        </w:rPr>
      </w:pPr>
    </w:p>
    <w:p w:rsidR="00C61E34" w:rsidRDefault="00C61E34" w:rsidP="00C61E34">
      <w:pPr>
        <w:jc w:val="both"/>
        <w:rPr>
          <w:b/>
          <w:lang w:val="ro-RO"/>
        </w:rPr>
      </w:pPr>
      <w:r>
        <w:rPr>
          <w:b/>
          <w:lang w:val="ro-RO"/>
        </w:rPr>
        <w:lastRenderedPageBreak/>
        <w:t xml:space="preserve">Clauze de </w:t>
      </w:r>
      <w:r w:rsidR="0077074A">
        <w:rPr>
          <w:b/>
          <w:lang w:val="ro-RO"/>
        </w:rPr>
        <w:t>P</w:t>
      </w:r>
      <w:r>
        <w:rPr>
          <w:b/>
          <w:lang w:val="ro-RO"/>
        </w:rPr>
        <w:t xml:space="preserve">rocedură </w:t>
      </w:r>
    </w:p>
    <w:p w:rsidR="00C61E34" w:rsidRDefault="00C61E34" w:rsidP="00C61E34">
      <w:pPr>
        <w:jc w:val="both"/>
        <w:rPr>
          <w:b/>
          <w:lang w:val="ro-RO"/>
        </w:rPr>
      </w:pPr>
      <w:r>
        <w:rPr>
          <w:b/>
          <w:lang w:val="ro-RO"/>
        </w:rPr>
        <w:t xml:space="preserve">Articolul 12 – Oferirea informațiilor </w:t>
      </w:r>
    </w:p>
    <w:p w:rsidR="00A61F43" w:rsidRDefault="00A61F43" w:rsidP="00C61E34">
      <w:pPr>
        <w:jc w:val="both"/>
        <w:rPr>
          <w:lang w:val="ro-RO"/>
        </w:rPr>
      </w:pPr>
      <w:r>
        <w:rPr>
          <w:lang w:val="ro-RO"/>
        </w:rPr>
        <w:t>Fiece Parte va înainta Comitetului de Siguranță și Securitate în timpul Evenimentelor Sport</w:t>
      </w:r>
      <w:r w:rsidR="00010160">
        <w:rPr>
          <w:lang w:val="ro-RO"/>
        </w:rPr>
        <w:t>ive</w:t>
      </w:r>
      <w:r>
        <w:rPr>
          <w:lang w:val="ro-RO"/>
        </w:rPr>
        <w:t xml:space="preserve">, în una din limbile oficiale ale Consiliului Europei, toate informațiile </w:t>
      </w:r>
      <w:r w:rsidR="0077074A">
        <w:rPr>
          <w:lang w:val="ro-RO"/>
        </w:rPr>
        <w:t>relevante</w:t>
      </w:r>
      <w:r>
        <w:rPr>
          <w:lang w:val="ro-RO"/>
        </w:rPr>
        <w:t xml:space="preserve"> privind </w:t>
      </w:r>
      <w:r w:rsidR="001A2362">
        <w:rPr>
          <w:lang w:val="ro-RO"/>
        </w:rPr>
        <w:t xml:space="preserve">măsurile legislative </w:t>
      </w:r>
      <w:r w:rsidR="005D5FC6">
        <w:rPr>
          <w:lang w:val="ro-RO"/>
        </w:rPr>
        <w:t xml:space="preserve">și de alt tip întreprinse de către acesta în scopul conformării cu termenii acestei Convenții, sau în ceea ce privește fotbalul sau alte sporturi. </w:t>
      </w:r>
    </w:p>
    <w:p w:rsidR="00182A7D" w:rsidRDefault="00182A7D" w:rsidP="00C61E34">
      <w:pPr>
        <w:jc w:val="both"/>
        <w:rPr>
          <w:lang w:val="ro-RO"/>
        </w:rPr>
      </w:pPr>
    </w:p>
    <w:p w:rsidR="00146DD3" w:rsidRDefault="00146DD3" w:rsidP="00C61E34">
      <w:pPr>
        <w:jc w:val="both"/>
        <w:rPr>
          <w:lang w:val="ro-RO"/>
        </w:rPr>
      </w:pPr>
      <w:r>
        <w:rPr>
          <w:b/>
          <w:lang w:val="ro-RO"/>
        </w:rPr>
        <w:t xml:space="preserve">Articolul 13 – Comitetul privind Siguranța și Securitatea </w:t>
      </w:r>
      <w:r w:rsidR="00F3685E">
        <w:rPr>
          <w:b/>
          <w:lang w:val="ro-RO"/>
        </w:rPr>
        <w:t xml:space="preserve">în timpul </w:t>
      </w:r>
      <w:r>
        <w:rPr>
          <w:b/>
          <w:lang w:val="ro-RO"/>
        </w:rPr>
        <w:t>Evenimentelor Sportive</w:t>
      </w:r>
      <w:r>
        <w:rPr>
          <w:lang w:val="ro-RO"/>
        </w:rPr>
        <w:t xml:space="preserve"> </w:t>
      </w:r>
    </w:p>
    <w:p w:rsidR="00146DD3" w:rsidRDefault="007C6B03" w:rsidP="00146DD3">
      <w:pPr>
        <w:pStyle w:val="Listparagraf"/>
        <w:numPr>
          <w:ilvl w:val="0"/>
          <w:numId w:val="14"/>
        </w:numPr>
        <w:jc w:val="both"/>
        <w:rPr>
          <w:lang w:val="ro-RO"/>
        </w:rPr>
      </w:pPr>
      <w:r>
        <w:rPr>
          <w:lang w:val="ro-RO"/>
        </w:rPr>
        <w:t xml:space="preserve">În </w:t>
      </w:r>
      <w:r w:rsidR="00182A7D">
        <w:rPr>
          <w:lang w:val="ro-RO"/>
        </w:rPr>
        <w:t>realizarea scopurilor</w:t>
      </w:r>
      <w:r>
        <w:rPr>
          <w:lang w:val="ro-RO"/>
        </w:rPr>
        <w:t xml:space="preserve"> acestei Convenții, </w:t>
      </w:r>
      <w:r w:rsidR="00010160">
        <w:rPr>
          <w:lang w:val="ro-RO"/>
        </w:rPr>
        <w:t xml:space="preserve">se stabilește </w:t>
      </w:r>
      <w:r w:rsidR="00F3685E">
        <w:rPr>
          <w:lang w:val="ro-RO"/>
        </w:rPr>
        <w:t>Comitetul privind Siguranța și Securitatea în timpul Evenimentelor Sportive</w:t>
      </w:r>
      <w:r w:rsidR="00D75DE8">
        <w:rPr>
          <w:lang w:val="ro-RO"/>
        </w:rPr>
        <w:t xml:space="preserve"> . </w:t>
      </w:r>
    </w:p>
    <w:p w:rsidR="002C0201" w:rsidRDefault="002C0201" w:rsidP="00146DD3">
      <w:pPr>
        <w:pStyle w:val="Listparagraf"/>
        <w:numPr>
          <w:ilvl w:val="0"/>
          <w:numId w:val="14"/>
        </w:numPr>
        <w:jc w:val="both"/>
        <w:rPr>
          <w:lang w:val="ro-RO"/>
        </w:rPr>
      </w:pPr>
      <w:r>
        <w:rPr>
          <w:lang w:val="ro-RO"/>
        </w:rPr>
        <w:t xml:space="preserve">Orice Parte a acestei Convenții poate fi reprezentată în comitet de către unul sau mai mulți delegați, reprezentând agenții guvernamentale de conducere, </w:t>
      </w:r>
      <w:r w:rsidR="00CA2D22">
        <w:rPr>
          <w:lang w:val="ro-RO"/>
        </w:rPr>
        <w:t>preferabil cu responsabilitate pentru siguranța și securitatea sportului și P</w:t>
      </w:r>
      <w:r w:rsidR="00010160">
        <w:rPr>
          <w:lang w:val="ro-RO"/>
        </w:rPr>
        <w:t>N</w:t>
      </w:r>
      <w:r w:rsidR="00182A7D">
        <w:rPr>
          <w:lang w:val="ro-RO"/>
        </w:rPr>
        <w:t>IF. Fiecare</w:t>
      </w:r>
      <w:r w:rsidR="00CA2D22">
        <w:rPr>
          <w:lang w:val="ro-RO"/>
        </w:rPr>
        <w:t xml:space="preserve"> Parte a prezentei Convenții va avea un vot. </w:t>
      </w:r>
    </w:p>
    <w:p w:rsidR="000F512E" w:rsidRDefault="000F512E" w:rsidP="00146DD3">
      <w:pPr>
        <w:pStyle w:val="Listparagraf"/>
        <w:numPr>
          <w:ilvl w:val="0"/>
          <w:numId w:val="14"/>
        </w:numPr>
        <w:jc w:val="both"/>
        <w:rPr>
          <w:lang w:val="ro-RO"/>
        </w:rPr>
      </w:pPr>
      <w:r>
        <w:rPr>
          <w:lang w:val="ro-RO"/>
        </w:rPr>
        <w:t xml:space="preserve">Orice Stat membru al Consiliului Europei sau un alt Stat Parte la Convenția Europeană Culturală, care nu este parte a acestei Convenții, cât și orice Stat care nu este membru, dar este Parte a Convenției Nr. 120, poate fi reprezentat la comitet ca observator. </w:t>
      </w:r>
    </w:p>
    <w:p w:rsidR="000F512E" w:rsidRDefault="000F512E" w:rsidP="00146DD3">
      <w:pPr>
        <w:pStyle w:val="Listparagraf"/>
        <w:numPr>
          <w:ilvl w:val="0"/>
          <w:numId w:val="14"/>
        </w:numPr>
        <w:jc w:val="both"/>
        <w:rPr>
          <w:lang w:val="ro-RO"/>
        </w:rPr>
      </w:pPr>
      <w:r>
        <w:rPr>
          <w:lang w:val="ro-RO"/>
        </w:rPr>
        <w:t xml:space="preserve">Comitetul, prin decizie unanimă, poate să invite orice Stat al Consiliului Europei, care nu este membru și care nu este Parte a prezentei Convenții sau la Convenția Nr. 120 și orice organizație interesată </w:t>
      </w:r>
      <w:r w:rsidR="00427B6F">
        <w:rPr>
          <w:lang w:val="ro-RO"/>
        </w:rPr>
        <w:t>de a fi</w:t>
      </w:r>
      <w:r>
        <w:rPr>
          <w:lang w:val="ro-RO"/>
        </w:rPr>
        <w:t xml:space="preserve"> reprezentată </w:t>
      </w:r>
      <w:r w:rsidR="00427B6F">
        <w:rPr>
          <w:lang w:val="ro-RO"/>
        </w:rPr>
        <w:t>poate fi</w:t>
      </w:r>
      <w:r>
        <w:rPr>
          <w:lang w:val="ro-RO"/>
        </w:rPr>
        <w:t xml:space="preserve"> observator la una sau la mai multe </w:t>
      </w:r>
      <w:r w:rsidR="00427B6F">
        <w:rPr>
          <w:lang w:val="ro-RO"/>
        </w:rPr>
        <w:t>întruniri ale</w:t>
      </w:r>
      <w:r>
        <w:rPr>
          <w:lang w:val="ro-RO"/>
        </w:rPr>
        <w:t xml:space="preserve"> acesteia. </w:t>
      </w:r>
    </w:p>
    <w:p w:rsidR="000F512E" w:rsidRDefault="000F512E" w:rsidP="00146DD3">
      <w:pPr>
        <w:pStyle w:val="Listparagraf"/>
        <w:numPr>
          <w:ilvl w:val="0"/>
          <w:numId w:val="14"/>
        </w:numPr>
        <w:jc w:val="both"/>
        <w:rPr>
          <w:lang w:val="ro-RO"/>
        </w:rPr>
      </w:pPr>
      <w:r>
        <w:rPr>
          <w:lang w:val="ro-RO"/>
        </w:rPr>
        <w:t xml:space="preserve">Comitetul va fi convocat de către Secretarul General al Consiliului Europei. Prima întâlnire va avea loc în decursul unui an de la data </w:t>
      </w:r>
      <w:r w:rsidR="002F3D7F">
        <w:rPr>
          <w:lang w:val="ro-RO"/>
        </w:rPr>
        <w:t>în care zece State membre ale Consiliului Europei și-au exprimat consimțământul să fie obligați prin Convenție. Ulterior se vor întruni cel puțin o</w:t>
      </w:r>
      <w:r w:rsidR="00427B6F">
        <w:rPr>
          <w:lang w:val="ro-RO"/>
        </w:rPr>
        <w:t xml:space="preserve"> </w:t>
      </w:r>
      <w:r w:rsidR="002F3D7F">
        <w:rPr>
          <w:lang w:val="ro-RO"/>
        </w:rPr>
        <w:t>dată pe an după prima lor întâlnire. În plus, se vor întâlni atunci când majoritatea dintre Părți v</w:t>
      </w:r>
      <w:r w:rsidR="00427B6F">
        <w:rPr>
          <w:lang w:val="ro-RO"/>
        </w:rPr>
        <w:t>a</w:t>
      </w:r>
      <w:r w:rsidR="002F3D7F">
        <w:rPr>
          <w:lang w:val="ro-RO"/>
        </w:rPr>
        <w:t xml:space="preserve"> solicita aceasta. </w:t>
      </w:r>
    </w:p>
    <w:p w:rsidR="0093012A" w:rsidRDefault="0093012A" w:rsidP="00146DD3">
      <w:pPr>
        <w:pStyle w:val="Listparagraf"/>
        <w:numPr>
          <w:ilvl w:val="0"/>
          <w:numId w:val="14"/>
        </w:numPr>
        <w:jc w:val="both"/>
        <w:rPr>
          <w:lang w:val="ro-RO"/>
        </w:rPr>
      </w:pPr>
      <w:r>
        <w:rPr>
          <w:lang w:val="ro-RO"/>
        </w:rPr>
        <w:t>Majoritatea Părților v</w:t>
      </w:r>
      <w:r w:rsidR="00427B6F">
        <w:rPr>
          <w:lang w:val="ro-RO"/>
        </w:rPr>
        <w:t>a</w:t>
      </w:r>
      <w:r>
        <w:rPr>
          <w:lang w:val="ro-RO"/>
        </w:rPr>
        <w:t xml:space="preserve"> constitui un cvorum pentru a petrece o întâlnire a comitetului. </w:t>
      </w:r>
    </w:p>
    <w:p w:rsidR="0093012A" w:rsidRDefault="0093012A" w:rsidP="00146DD3">
      <w:pPr>
        <w:pStyle w:val="Listparagraf"/>
        <w:numPr>
          <w:ilvl w:val="0"/>
          <w:numId w:val="14"/>
        </w:numPr>
        <w:jc w:val="both"/>
        <w:rPr>
          <w:lang w:val="ro-RO"/>
        </w:rPr>
      </w:pPr>
      <w:r>
        <w:rPr>
          <w:lang w:val="ro-RO"/>
        </w:rPr>
        <w:t>Conform prevederilor acestei Convenții, comitetul v</w:t>
      </w:r>
      <w:r w:rsidR="00427B6F">
        <w:rPr>
          <w:lang w:val="ro-RO"/>
        </w:rPr>
        <w:t>a</w:t>
      </w:r>
      <w:r>
        <w:rPr>
          <w:lang w:val="ro-RO"/>
        </w:rPr>
        <w:t xml:space="preserve"> elabora și adopta prin consens propriile reguli de procedură. </w:t>
      </w:r>
    </w:p>
    <w:p w:rsidR="0093012A" w:rsidRDefault="00A730B4" w:rsidP="0093012A">
      <w:pPr>
        <w:jc w:val="both"/>
        <w:rPr>
          <w:lang w:val="ro-RO"/>
        </w:rPr>
      </w:pPr>
      <w:r>
        <w:rPr>
          <w:b/>
          <w:lang w:val="ro-RO"/>
        </w:rPr>
        <w:t>Articolul 14 – Funcțiile Comitetului privind Siguranța și Securitatea în timpul Evenimentelor Sportive</w:t>
      </w:r>
      <w:r>
        <w:rPr>
          <w:lang w:val="ro-RO"/>
        </w:rPr>
        <w:t xml:space="preserve"> </w:t>
      </w:r>
    </w:p>
    <w:p w:rsidR="00A730B4" w:rsidRDefault="00A730B4" w:rsidP="00A730B4">
      <w:pPr>
        <w:pStyle w:val="Listparagraf"/>
        <w:numPr>
          <w:ilvl w:val="0"/>
          <w:numId w:val="15"/>
        </w:numPr>
        <w:jc w:val="both"/>
        <w:rPr>
          <w:lang w:val="ro-RO"/>
        </w:rPr>
      </w:pPr>
      <w:r>
        <w:rPr>
          <w:lang w:val="ro-RO"/>
        </w:rPr>
        <w:t>Comitetul va fi responsabil de monitorizarea aplicării acestei Convenții. În special</w:t>
      </w:r>
      <w:r w:rsidR="00427B6F">
        <w:rPr>
          <w:lang w:val="ro-RO"/>
        </w:rPr>
        <w:t>,</w:t>
      </w:r>
      <w:r>
        <w:rPr>
          <w:lang w:val="ro-RO"/>
        </w:rPr>
        <w:t xml:space="preserve"> </w:t>
      </w:r>
      <w:r w:rsidR="001C0962">
        <w:rPr>
          <w:lang w:val="ro-RO"/>
        </w:rPr>
        <w:t xml:space="preserve">poate să: </w:t>
      </w:r>
    </w:p>
    <w:p w:rsidR="001C0962" w:rsidRDefault="00427B6F" w:rsidP="001C0962">
      <w:pPr>
        <w:pStyle w:val="Listparagraf"/>
        <w:numPr>
          <w:ilvl w:val="0"/>
          <w:numId w:val="16"/>
        </w:numPr>
        <w:jc w:val="both"/>
        <w:rPr>
          <w:lang w:val="ro-RO"/>
        </w:rPr>
      </w:pPr>
      <w:r>
        <w:rPr>
          <w:lang w:val="ro-RO"/>
        </w:rPr>
        <w:t>r</w:t>
      </w:r>
      <w:r w:rsidR="001C0962">
        <w:rPr>
          <w:lang w:val="ro-RO"/>
        </w:rPr>
        <w:t xml:space="preserve">evadă prevederile prezentei Convenții și să examineze orice modificări necesare; </w:t>
      </w:r>
    </w:p>
    <w:p w:rsidR="001C0962" w:rsidRDefault="00427B6F" w:rsidP="001C0962">
      <w:pPr>
        <w:pStyle w:val="Listparagraf"/>
        <w:numPr>
          <w:ilvl w:val="0"/>
          <w:numId w:val="16"/>
        </w:numPr>
        <w:jc w:val="both"/>
        <w:rPr>
          <w:lang w:val="ro-RO"/>
        </w:rPr>
      </w:pPr>
      <w:r>
        <w:rPr>
          <w:lang w:val="ro-RO"/>
        </w:rPr>
        <w:t>o</w:t>
      </w:r>
      <w:r w:rsidR="001C0962">
        <w:rPr>
          <w:lang w:val="ro-RO"/>
        </w:rPr>
        <w:t xml:space="preserve">fere consultații și, dacă este cazul, să facă schimb de informații cu organizațiile </w:t>
      </w:r>
      <w:r>
        <w:rPr>
          <w:lang w:val="ro-RO"/>
        </w:rPr>
        <w:t>competente</w:t>
      </w:r>
      <w:r w:rsidR="001C0962">
        <w:rPr>
          <w:lang w:val="ro-RO"/>
        </w:rPr>
        <w:t xml:space="preserve">; </w:t>
      </w:r>
    </w:p>
    <w:p w:rsidR="001C0962" w:rsidRDefault="00427B6F" w:rsidP="001C0962">
      <w:pPr>
        <w:pStyle w:val="Listparagraf"/>
        <w:numPr>
          <w:ilvl w:val="0"/>
          <w:numId w:val="16"/>
        </w:numPr>
        <w:jc w:val="both"/>
        <w:rPr>
          <w:lang w:val="ro-RO"/>
        </w:rPr>
      </w:pPr>
      <w:r>
        <w:rPr>
          <w:lang w:val="ro-RO"/>
        </w:rPr>
        <w:t>f</w:t>
      </w:r>
      <w:r w:rsidR="00963B6E">
        <w:rPr>
          <w:lang w:val="ro-RO"/>
        </w:rPr>
        <w:t xml:space="preserve">acă recomandări Părților prezentei Convenții privind măsurile întreprinse pentru aplicarea acesteia; </w:t>
      </w:r>
    </w:p>
    <w:p w:rsidR="00092E15" w:rsidRDefault="00427B6F" w:rsidP="001C0962">
      <w:pPr>
        <w:pStyle w:val="Listparagraf"/>
        <w:numPr>
          <w:ilvl w:val="0"/>
          <w:numId w:val="16"/>
        </w:numPr>
        <w:jc w:val="both"/>
        <w:rPr>
          <w:lang w:val="ro-RO"/>
        </w:rPr>
      </w:pPr>
      <w:r>
        <w:rPr>
          <w:lang w:val="ro-RO"/>
        </w:rPr>
        <w:t>r</w:t>
      </w:r>
      <w:r w:rsidR="00092E15">
        <w:rPr>
          <w:lang w:val="ro-RO"/>
        </w:rPr>
        <w:t xml:space="preserve">ecomande măsurile adecvate pentru ca publicul să fie informat despre activitățile întreprinse în cadrul prezentei Convenții; </w:t>
      </w:r>
    </w:p>
    <w:p w:rsidR="00092E15" w:rsidRDefault="00427B6F" w:rsidP="001C0962">
      <w:pPr>
        <w:pStyle w:val="Listparagraf"/>
        <w:numPr>
          <w:ilvl w:val="0"/>
          <w:numId w:val="16"/>
        </w:numPr>
        <w:jc w:val="both"/>
        <w:rPr>
          <w:lang w:val="ro-RO"/>
        </w:rPr>
      </w:pPr>
      <w:r>
        <w:rPr>
          <w:lang w:val="ro-RO"/>
        </w:rPr>
        <w:t xml:space="preserve">facă </w:t>
      </w:r>
      <w:r w:rsidR="00092E15">
        <w:rPr>
          <w:lang w:val="ro-RO"/>
        </w:rPr>
        <w:t xml:space="preserve">recomandări Comitetului Miniștrilor </w:t>
      </w:r>
      <w:r>
        <w:rPr>
          <w:lang w:val="ro-RO"/>
        </w:rPr>
        <w:t xml:space="preserve">de a invita </w:t>
      </w:r>
      <w:r w:rsidR="00092E15">
        <w:rPr>
          <w:lang w:val="ro-RO"/>
        </w:rPr>
        <w:t xml:space="preserve">Statele </w:t>
      </w:r>
      <w:r>
        <w:rPr>
          <w:lang w:val="ro-RO"/>
        </w:rPr>
        <w:t xml:space="preserve">care nu sunt </w:t>
      </w:r>
      <w:r w:rsidR="00092E15">
        <w:rPr>
          <w:lang w:val="ro-RO"/>
        </w:rPr>
        <w:t xml:space="preserve">membre ale Consiliului Europei să adere la prezenta Convenție; </w:t>
      </w:r>
    </w:p>
    <w:p w:rsidR="00980B3F" w:rsidRDefault="00427B6F" w:rsidP="001C0962">
      <w:pPr>
        <w:pStyle w:val="Listparagraf"/>
        <w:numPr>
          <w:ilvl w:val="0"/>
          <w:numId w:val="16"/>
        </w:numPr>
        <w:jc w:val="both"/>
        <w:rPr>
          <w:lang w:val="ro-RO"/>
        </w:rPr>
      </w:pPr>
      <w:r>
        <w:rPr>
          <w:lang w:val="ro-RO"/>
        </w:rPr>
        <w:t>f</w:t>
      </w:r>
      <w:r w:rsidR="00980B3F">
        <w:rPr>
          <w:lang w:val="ro-RO"/>
        </w:rPr>
        <w:t xml:space="preserve">acă orice propunere de îmbunătățire a eficacității prezentei Convenții; </w:t>
      </w:r>
    </w:p>
    <w:p w:rsidR="00980B3F" w:rsidRDefault="00427B6F" w:rsidP="001C0962">
      <w:pPr>
        <w:pStyle w:val="Listparagraf"/>
        <w:numPr>
          <w:ilvl w:val="0"/>
          <w:numId w:val="16"/>
        </w:numPr>
        <w:jc w:val="both"/>
        <w:rPr>
          <w:lang w:val="ro-RO"/>
        </w:rPr>
      </w:pPr>
      <w:r>
        <w:rPr>
          <w:lang w:val="ro-RO"/>
        </w:rPr>
        <w:t>f</w:t>
      </w:r>
      <w:r w:rsidR="00980B3F">
        <w:rPr>
          <w:lang w:val="ro-RO"/>
        </w:rPr>
        <w:t xml:space="preserve">aciliteze colectarea, analiza și schimbul de informații, experiență și bunele practici între State. </w:t>
      </w:r>
    </w:p>
    <w:p w:rsidR="001E3EDA" w:rsidRDefault="00F92F43" w:rsidP="00F92F43">
      <w:pPr>
        <w:pStyle w:val="Listparagraf"/>
        <w:numPr>
          <w:ilvl w:val="0"/>
          <w:numId w:val="15"/>
        </w:numPr>
        <w:jc w:val="both"/>
        <w:rPr>
          <w:lang w:val="ro-RO"/>
        </w:rPr>
      </w:pPr>
      <w:r>
        <w:rPr>
          <w:lang w:val="ro-RO"/>
        </w:rPr>
        <w:lastRenderedPageBreak/>
        <w:t xml:space="preserve">Comitetul, </w:t>
      </w:r>
      <w:r w:rsidR="00925CC0">
        <w:rPr>
          <w:lang w:val="ro-RO"/>
        </w:rPr>
        <w:t xml:space="preserve">cu acordul prealabil al Părților interesate, va monitoriza conformarea cu prezenta Convenție printr-un program de vizite în Statele Părți, pentru a oferi </w:t>
      </w:r>
      <w:r w:rsidR="00427B6F">
        <w:rPr>
          <w:lang w:val="ro-RO"/>
        </w:rPr>
        <w:t>consultaţie</w:t>
      </w:r>
      <w:r w:rsidR="00925CC0">
        <w:rPr>
          <w:lang w:val="ro-RO"/>
        </w:rPr>
        <w:t xml:space="preserve"> și asistență în implementarea acestei Convenții. </w:t>
      </w:r>
    </w:p>
    <w:p w:rsidR="00925CC0" w:rsidRDefault="00925CC0" w:rsidP="00F92F43">
      <w:pPr>
        <w:pStyle w:val="Listparagraf"/>
        <w:numPr>
          <w:ilvl w:val="0"/>
          <w:numId w:val="15"/>
        </w:numPr>
        <w:jc w:val="both"/>
        <w:rPr>
          <w:lang w:val="ro-RO"/>
        </w:rPr>
      </w:pPr>
      <w:r>
        <w:rPr>
          <w:lang w:val="ro-RO"/>
        </w:rPr>
        <w:t xml:space="preserve">Comitetul va colecta informațiile furnizate de către Statele Părți conform Articolului 12 și va transmite datele relevante tuturor Statelor Părți ale Convenției. </w:t>
      </w:r>
      <w:r w:rsidR="00DC26D6">
        <w:rPr>
          <w:lang w:val="ro-RO"/>
        </w:rPr>
        <w:t>Poate</w:t>
      </w:r>
      <w:r w:rsidR="00427B6F">
        <w:rPr>
          <w:lang w:val="ro-RO"/>
        </w:rPr>
        <w:t>,</w:t>
      </w:r>
      <w:r w:rsidR="00DC26D6">
        <w:rPr>
          <w:lang w:val="ro-RO"/>
        </w:rPr>
        <w:t xml:space="preserve"> în special</w:t>
      </w:r>
      <w:r w:rsidR="00427B6F">
        <w:rPr>
          <w:lang w:val="ro-RO"/>
        </w:rPr>
        <w:t>,</w:t>
      </w:r>
      <w:r w:rsidR="00182A7D">
        <w:rPr>
          <w:lang w:val="ro-RO"/>
        </w:rPr>
        <w:t xml:space="preserve"> să informeze fiecare</w:t>
      </w:r>
      <w:r w:rsidR="00DC26D6">
        <w:rPr>
          <w:lang w:val="ro-RO"/>
        </w:rPr>
        <w:t xml:space="preserve"> Stat Parte despre numirea unui noi P</w:t>
      </w:r>
      <w:r w:rsidR="00010160">
        <w:rPr>
          <w:lang w:val="ro-RO"/>
        </w:rPr>
        <w:t>N</w:t>
      </w:r>
      <w:r w:rsidR="00DC26D6">
        <w:rPr>
          <w:lang w:val="ro-RO"/>
        </w:rPr>
        <w:t xml:space="preserve">IF și să distribuie datele de contact ale acestuia. </w:t>
      </w:r>
    </w:p>
    <w:p w:rsidR="00182A7D" w:rsidRPr="00E42BC3" w:rsidRDefault="000752D8" w:rsidP="00E42BC3">
      <w:pPr>
        <w:pStyle w:val="Listparagraf"/>
        <w:numPr>
          <w:ilvl w:val="0"/>
          <w:numId w:val="15"/>
        </w:numPr>
        <w:jc w:val="both"/>
        <w:rPr>
          <w:lang w:val="ro-RO"/>
        </w:rPr>
      </w:pPr>
      <w:r>
        <w:rPr>
          <w:lang w:val="ro-RO"/>
        </w:rPr>
        <w:t xml:space="preserve">Pentru a îndeplini funcțiile sale, comitetul poate, la inițiativa proprie, să organizeze întâlniri ale grupurilor de experți. </w:t>
      </w:r>
    </w:p>
    <w:p w:rsidR="000752D8" w:rsidRDefault="000752D8" w:rsidP="000752D8">
      <w:pPr>
        <w:jc w:val="both"/>
        <w:rPr>
          <w:b/>
          <w:lang w:val="ro-RO"/>
        </w:rPr>
      </w:pPr>
      <w:r>
        <w:rPr>
          <w:b/>
          <w:lang w:val="ro-RO"/>
        </w:rPr>
        <w:t xml:space="preserve">Articolul 15 – Amendamente </w:t>
      </w:r>
    </w:p>
    <w:p w:rsidR="000752D8" w:rsidRDefault="000752D8" w:rsidP="000752D8">
      <w:pPr>
        <w:pStyle w:val="Listparagraf"/>
        <w:numPr>
          <w:ilvl w:val="0"/>
          <w:numId w:val="17"/>
        </w:numPr>
        <w:jc w:val="both"/>
        <w:rPr>
          <w:lang w:val="ro-RO"/>
        </w:rPr>
      </w:pPr>
      <w:r>
        <w:rPr>
          <w:lang w:val="ro-RO"/>
        </w:rPr>
        <w:t xml:space="preserve">Amendamentele la Convenție pot fi propuse de către o Parte, Comitetul privind Siguranța și Securitatea în timpul Evenimentelor Sportive sau Comitetul Miniștrilor al Consiliului Europei. </w:t>
      </w:r>
    </w:p>
    <w:p w:rsidR="000752D8" w:rsidRDefault="000752D8" w:rsidP="000752D8">
      <w:pPr>
        <w:pStyle w:val="Listparagraf"/>
        <w:numPr>
          <w:ilvl w:val="0"/>
          <w:numId w:val="17"/>
        </w:numPr>
        <w:jc w:val="both"/>
        <w:rPr>
          <w:lang w:val="ro-RO"/>
        </w:rPr>
      </w:pPr>
      <w:r>
        <w:rPr>
          <w:lang w:val="ro-RO"/>
        </w:rPr>
        <w:t>Orice propunere pentru amendament va fi comunic</w:t>
      </w:r>
      <w:r w:rsidR="005B3D67">
        <w:rPr>
          <w:lang w:val="ro-RO"/>
        </w:rPr>
        <w:t>ată de către Secretarul General</w:t>
      </w:r>
      <w:r>
        <w:rPr>
          <w:lang w:val="ro-RO"/>
        </w:rPr>
        <w:t xml:space="preserve"> al Consiliului Europei Statelor membre ale Consiliului Europei, Statelor Părți</w:t>
      </w:r>
      <w:r w:rsidR="00010160">
        <w:rPr>
          <w:lang w:val="ro-RO"/>
        </w:rPr>
        <w:t xml:space="preserve"> ai</w:t>
      </w:r>
      <w:r>
        <w:rPr>
          <w:lang w:val="ro-RO"/>
        </w:rPr>
        <w:t xml:space="preserve"> Convenției Culturale Europene, oricărui Stat care nu este membru al Consiliului Europei</w:t>
      </w:r>
      <w:r w:rsidR="00427B6F">
        <w:rPr>
          <w:lang w:val="ro-RO"/>
        </w:rPr>
        <w:t xml:space="preserve"> dar</w:t>
      </w:r>
      <w:r>
        <w:rPr>
          <w:lang w:val="ro-RO"/>
        </w:rPr>
        <w:t xml:space="preserve"> care a aderat la Convenția Nr. 120 înainte de data de înaintare a </w:t>
      </w:r>
      <w:r w:rsidR="00A60108">
        <w:rPr>
          <w:lang w:val="ro-RO"/>
        </w:rPr>
        <w:t xml:space="preserve">prezentei </w:t>
      </w:r>
      <w:r>
        <w:rPr>
          <w:lang w:val="ro-RO"/>
        </w:rPr>
        <w:t xml:space="preserve">Convenției spre semnare </w:t>
      </w:r>
      <w:r w:rsidR="00A60108">
        <w:rPr>
          <w:lang w:val="ro-RO"/>
        </w:rPr>
        <w:t xml:space="preserve">și oricărui Stat care nu este membru </w:t>
      </w:r>
      <w:r w:rsidR="00427B6F">
        <w:rPr>
          <w:lang w:val="ro-RO"/>
        </w:rPr>
        <w:t xml:space="preserve">însă </w:t>
      </w:r>
      <w:r w:rsidR="00A60108">
        <w:rPr>
          <w:lang w:val="ro-RO"/>
        </w:rPr>
        <w:t xml:space="preserve">a aderat sau a fost invitat să adere la prezenta Convenție în conformitate cu prevederile Articolului 18. </w:t>
      </w:r>
    </w:p>
    <w:p w:rsidR="00E14032" w:rsidRDefault="00E14032" w:rsidP="000752D8">
      <w:pPr>
        <w:pStyle w:val="Listparagraf"/>
        <w:numPr>
          <w:ilvl w:val="0"/>
          <w:numId w:val="17"/>
        </w:numPr>
        <w:jc w:val="both"/>
        <w:rPr>
          <w:lang w:val="ro-RO"/>
        </w:rPr>
      </w:pPr>
      <w:r>
        <w:rPr>
          <w:lang w:val="ro-RO"/>
        </w:rPr>
        <w:t xml:space="preserve">Orice amendament propus de către o Parte sau de către Comitetul Miniștrilor va fi comunicat comitetului cu cel puțin două luni înainte de întrunire, în cadrul căruia </w:t>
      </w:r>
      <w:r w:rsidR="00010160">
        <w:rPr>
          <w:lang w:val="ro-RO"/>
        </w:rPr>
        <w:t>va</w:t>
      </w:r>
      <w:r>
        <w:rPr>
          <w:lang w:val="ro-RO"/>
        </w:rPr>
        <w:t xml:space="preserve"> fi luat în considerare. Comitetul va prezenta opinia asupra amendamentului propus </w:t>
      </w:r>
      <w:r w:rsidR="009E01A1">
        <w:rPr>
          <w:lang w:val="ro-RO"/>
        </w:rPr>
        <w:t xml:space="preserve">către </w:t>
      </w:r>
      <w:r>
        <w:rPr>
          <w:lang w:val="ro-RO"/>
        </w:rPr>
        <w:t xml:space="preserve">Comitetului de Miniștri. </w:t>
      </w:r>
    </w:p>
    <w:p w:rsidR="00E14032" w:rsidRDefault="00E14032" w:rsidP="000752D8">
      <w:pPr>
        <w:pStyle w:val="Listparagraf"/>
        <w:numPr>
          <w:ilvl w:val="0"/>
          <w:numId w:val="17"/>
        </w:numPr>
        <w:jc w:val="both"/>
        <w:rPr>
          <w:lang w:val="ro-RO"/>
        </w:rPr>
      </w:pPr>
      <w:r>
        <w:rPr>
          <w:lang w:val="ro-RO"/>
        </w:rPr>
        <w:t xml:space="preserve">Comitetul de Miniștri va lua în considerare amendamentul propus și orice opinie înaintată comitetului și poate adopta amendamentul prin majoritate, fapt prevăzut </w:t>
      </w:r>
      <w:r w:rsidR="009E01A1">
        <w:rPr>
          <w:lang w:val="ro-RO"/>
        </w:rPr>
        <w:t>în</w:t>
      </w:r>
      <w:r>
        <w:rPr>
          <w:lang w:val="ro-RO"/>
        </w:rPr>
        <w:t xml:space="preserve"> Articolul 20</w:t>
      </w:r>
      <w:r w:rsidR="009E01A1">
        <w:rPr>
          <w:lang w:val="ro-RO"/>
        </w:rPr>
        <w:t>.</w:t>
      </w:r>
      <w:r>
        <w:rPr>
          <w:lang w:val="ro-RO"/>
        </w:rPr>
        <w:t xml:space="preserve">d al Statutului Consiliului Europei. </w:t>
      </w:r>
    </w:p>
    <w:p w:rsidR="0027191B" w:rsidRDefault="0027191B" w:rsidP="000752D8">
      <w:pPr>
        <w:pStyle w:val="Listparagraf"/>
        <w:numPr>
          <w:ilvl w:val="0"/>
          <w:numId w:val="17"/>
        </w:numPr>
        <w:jc w:val="both"/>
        <w:rPr>
          <w:lang w:val="ro-RO"/>
        </w:rPr>
      </w:pPr>
      <w:r>
        <w:rPr>
          <w:lang w:val="ro-RO"/>
        </w:rPr>
        <w:t xml:space="preserve">Textul oricărui amendament adoptat de către Comitetul de Miniștri în conformitate cu paragraful 4 al acestui articol va fi înaintat Părților spre acceptare în conformitate cu procedurile interne respective. </w:t>
      </w:r>
    </w:p>
    <w:p w:rsidR="00912AC9" w:rsidRDefault="00912AC9" w:rsidP="000752D8">
      <w:pPr>
        <w:pStyle w:val="Listparagraf"/>
        <w:numPr>
          <w:ilvl w:val="0"/>
          <w:numId w:val="17"/>
        </w:numPr>
        <w:jc w:val="both"/>
        <w:rPr>
          <w:lang w:val="ro-RO"/>
        </w:rPr>
      </w:pPr>
      <w:r>
        <w:rPr>
          <w:lang w:val="ro-RO"/>
        </w:rPr>
        <w:t xml:space="preserve">Orice amendament adoptat în conformitate cu paragraful 4 al acestui articol va intra în vigoare în prima zi a lunii </w:t>
      </w:r>
      <w:r w:rsidR="00010160">
        <w:rPr>
          <w:lang w:val="ro-RO"/>
        </w:rPr>
        <w:t>următoare</w:t>
      </w:r>
      <w:r w:rsidR="00600C58">
        <w:rPr>
          <w:lang w:val="ro-RO"/>
        </w:rPr>
        <w:t xml:space="preserve"> </w:t>
      </w:r>
      <w:r>
        <w:rPr>
          <w:lang w:val="ro-RO"/>
        </w:rPr>
        <w:t xml:space="preserve">după ce toate Părțile au informat Secretarul General despre acceptul lor. </w:t>
      </w:r>
    </w:p>
    <w:p w:rsidR="00912AC9" w:rsidRDefault="00912AC9" w:rsidP="00912AC9">
      <w:pPr>
        <w:jc w:val="both"/>
        <w:rPr>
          <w:lang w:val="ro-RO"/>
        </w:rPr>
      </w:pPr>
      <w:r>
        <w:rPr>
          <w:b/>
          <w:lang w:val="ro-RO"/>
        </w:rPr>
        <w:t xml:space="preserve">Clauze </w:t>
      </w:r>
      <w:r w:rsidR="009E01A1">
        <w:rPr>
          <w:b/>
          <w:lang w:val="ro-RO"/>
        </w:rPr>
        <w:t>F</w:t>
      </w:r>
      <w:r>
        <w:rPr>
          <w:b/>
          <w:lang w:val="ro-RO"/>
        </w:rPr>
        <w:t xml:space="preserve">inale </w:t>
      </w:r>
      <w:r>
        <w:rPr>
          <w:lang w:val="ro-RO"/>
        </w:rPr>
        <w:t xml:space="preserve"> </w:t>
      </w:r>
    </w:p>
    <w:p w:rsidR="00912AC9" w:rsidRDefault="00912AC9" w:rsidP="00912AC9">
      <w:pPr>
        <w:jc w:val="both"/>
        <w:rPr>
          <w:lang w:val="ro-RO"/>
        </w:rPr>
      </w:pPr>
      <w:r>
        <w:rPr>
          <w:b/>
          <w:lang w:val="ro-RO"/>
        </w:rPr>
        <w:t xml:space="preserve">Articolul 16 – Semnarea </w:t>
      </w:r>
    </w:p>
    <w:p w:rsidR="00912AC9" w:rsidRDefault="00912AC9" w:rsidP="00912AC9">
      <w:pPr>
        <w:pStyle w:val="Listparagraf"/>
        <w:numPr>
          <w:ilvl w:val="0"/>
          <w:numId w:val="18"/>
        </w:numPr>
        <w:jc w:val="both"/>
        <w:rPr>
          <w:lang w:val="ro-RO"/>
        </w:rPr>
      </w:pPr>
      <w:r>
        <w:rPr>
          <w:lang w:val="ro-RO"/>
        </w:rPr>
        <w:t xml:space="preserve">Această Convenție va fi înaintată spre semnare de către Statele membre ale Consiliului Europei, Statele Părți ale Convenției Culturale Europene și oricare Stat care nu este membru al Consiliului Europei </w:t>
      </w:r>
      <w:r w:rsidR="004B07E0">
        <w:rPr>
          <w:lang w:val="ro-RO"/>
        </w:rPr>
        <w:t xml:space="preserve">însă </w:t>
      </w:r>
      <w:r>
        <w:rPr>
          <w:lang w:val="ro-RO"/>
        </w:rPr>
        <w:t xml:space="preserve">a aderat la Convenția Europeană privind </w:t>
      </w:r>
      <w:r w:rsidR="004B07E0">
        <w:rPr>
          <w:lang w:val="ro-RO"/>
        </w:rPr>
        <w:t>V</w:t>
      </w:r>
      <w:r w:rsidR="0079143A">
        <w:rPr>
          <w:lang w:val="ro-RO"/>
        </w:rPr>
        <w:t xml:space="preserve">iolența și </w:t>
      </w:r>
      <w:r w:rsidR="004B07E0">
        <w:rPr>
          <w:lang w:val="ro-RO"/>
        </w:rPr>
        <w:t>Ieşirile N</w:t>
      </w:r>
      <w:r w:rsidR="00010160">
        <w:rPr>
          <w:lang w:val="ro-RO"/>
        </w:rPr>
        <w:t>econtrolate</w:t>
      </w:r>
      <w:r w:rsidR="0079143A">
        <w:rPr>
          <w:lang w:val="ro-RO"/>
        </w:rPr>
        <w:t xml:space="preserve"> al</w:t>
      </w:r>
      <w:r w:rsidR="00010160">
        <w:rPr>
          <w:lang w:val="ro-RO"/>
        </w:rPr>
        <w:t>e</w:t>
      </w:r>
      <w:r w:rsidR="0079143A">
        <w:rPr>
          <w:lang w:val="ro-RO"/>
        </w:rPr>
        <w:t xml:space="preserve"> </w:t>
      </w:r>
      <w:r w:rsidR="004B07E0">
        <w:rPr>
          <w:lang w:val="ro-RO"/>
        </w:rPr>
        <w:t>S</w:t>
      </w:r>
      <w:r w:rsidR="0079143A">
        <w:rPr>
          <w:lang w:val="ro-RO"/>
        </w:rPr>
        <w:t xml:space="preserve">pectatorilor </w:t>
      </w:r>
      <w:r w:rsidR="00010160">
        <w:rPr>
          <w:lang w:val="ro-RO"/>
        </w:rPr>
        <w:t>cu ocazia</w:t>
      </w:r>
      <w:r w:rsidR="0079143A">
        <w:rPr>
          <w:lang w:val="ro-RO"/>
        </w:rPr>
        <w:t xml:space="preserve"> </w:t>
      </w:r>
      <w:r w:rsidR="004B07E0">
        <w:rPr>
          <w:lang w:val="ro-RO"/>
        </w:rPr>
        <w:t>Manifestărilor S</w:t>
      </w:r>
      <w:r w:rsidR="0079143A">
        <w:rPr>
          <w:lang w:val="ro-RO"/>
        </w:rPr>
        <w:t xml:space="preserve">portive în special </w:t>
      </w:r>
      <w:r w:rsidR="00010160">
        <w:rPr>
          <w:lang w:val="ro-RO"/>
        </w:rPr>
        <w:t>la</w:t>
      </w:r>
      <w:r w:rsidR="0079143A">
        <w:rPr>
          <w:lang w:val="ro-RO"/>
        </w:rPr>
        <w:t xml:space="preserve"> </w:t>
      </w:r>
      <w:r w:rsidR="004B07E0">
        <w:rPr>
          <w:lang w:val="ro-RO"/>
        </w:rPr>
        <w:t>M</w:t>
      </w:r>
      <w:r w:rsidR="0079143A">
        <w:rPr>
          <w:lang w:val="ro-RO"/>
        </w:rPr>
        <w:t>eciuril</w:t>
      </w:r>
      <w:r w:rsidR="00010160">
        <w:rPr>
          <w:lang w:val="ro-RO"/>
        </w:rPr>
        <w:t>e</w:t>
      </w:r>
      <w:r w:rsidR="0079143A">
        <w:rPr>
          <w:lang w:val="ro-RO"/>
        </w:rPr>
        <w:t xml:space="preserve"> de </w:t>
      </w:r>
      <w:r w:rsidR="004B07E0">
        <w:rPr>
          <w:lang w:val="ro-RO"/>
        </w:rPr>
        <w:t>F</w:t>
      </w:r>
      <w:r w:rsidR="0079143A">
        <w:rPr>
          <w:lang w:val="ro-RO"/>
        </w:rPr>
        <w:t xml:space="preserve">otbal (ETS Nr. 120), </w:t>
      </w:r>
      <w:r w:rsidR="004B07E0">
        <w:rPr>
          <w:lang w:val="ro-RO"/>
        </w:rPr>
        <w:t xml:space="preserve">deschis </w:t>
      </w:r>
      <w:r w:rsidR="00AF3A84">
        <w:rPr>
          <w:lang w:val="ro-RO"/>
        </w:rPr>
        <w:t xml:space="preserve">spre semnare la Strasbourg, la data de 19 august 1985, înainte de înaintarea spre semnare a prezentei Convenții. </w:t>
      </w:r>
    </w:p>
    <w:p w:rsidR="00C05EEC" w:rsidRDefault="00C05EEC" w:rsidP="00912AC9">
      <w:pPr>
        <w:pStyle w:val="Listparagraf"/>
        <w:numPr>
          <w:ilvl w:val="0"/>
          <w:numId w:val="18"/>
        </w:numPr>
        <w:jc w:val="both"/>
        <w:rPr>
          <w:lang w:val="ro-RO"/>
        </w:rPr>
      </w:pPr>
      <w:r>
        <w:rPr>
          <w:lang w:val="ro-RO"/>
        </w:rPr>
        <w:t xml:space="preserve">Această Convenție poate fi ratificată, acceptată sau aprobată. Documentele de ratificare, acceptare și aprobare vor fi depuse la Secretarul General al Consiliului Europei. </w:t>
      </w:r>
    </w:p>
    <w:p w:rsidR="00C05EEC" w:rsidRDefault="00C05EEC" w:rsidP="00912AC9">
      <w:pPr>
        <w:pStyle w:val="Listparagraf"/>
        <w:numPr>
          <w:ilvl w:val="0"/>
          <w:numId w:val="18"/>
        </w:numPr>
        <w:jc w:val="both"/>
        <w:rPr>
          <w:lang w:val="ro-RO"/>
        </w:rPr>
      </w:pPr>
      <w:r>
        <w:rPr>
          <w:lang w:val="ro-RO"/>
        </w:rPr>
        <w:t xml:space="preserve">Nici un Stat Parte la Convenția Nr. 120 nu poate depune propriul document de ratificare, acceptare sau aprobare dacă a denunțat deja convenția menționată sau o denunță </w:t>
      </w:r>
      <w:r w:rsidR="00010160">
        <w:rPr>
          <w:lang w:val="ro-RO"/>
        </w:rPr>
        <w:t>concomitent</w:t>
      </w:r>
      <w:r>
        <w:rPr>
          <w:lang w:val="ro-RO"/>
        </w:rPr>
        <w:t xml:space="preserve">. </w:t>
      </w:r>
    </w:p>
    <w:p w:rsidR="00176F5E" w:rsidRDefault="00176F5E" w:rsidP="00912AC9">
      <w:pPr>
        <w:pStyle w:val="Listparagraf"/>
        <w:numPr>
          <w:ilvl w:val="0"/>
          <w:numId w:val="18"/>
        </w:numPr>
        <w:jc w:val="both"/>
        <w:rPr>
          <w:lang w:val="ro-RO"/>
        </w:rPr>
      </w:pPr>
      <w:r>
        <w:rPr>
          <w:lang w:val="ro-RO"/>
        </w:rPr>
        <w:lastRenderedPageBreak/>
        <w:t xml:space="preserve">Atunci când depune propriul document de ratificare, acceptare sau aprobare în conformitate cu paragraful precedent, un Stat Contractant poate declara </w:t>
      </w:r>
      <w:r w:rsidR="004B07E0">
        <w:rPr>
          <w:lang w:val="ro-RO"/>
        </w:rPr>
        <w:t xml:space="preserve">dacă </w:t>
      </w:r>
      <w:r>
        <w:rPr>
          <w:lang w:val="ro-RO"/>
        </w:rPr>
        <w:t>va c</w:t>
      </w:r>
      <w:r w:rsidR="00AB7AA4">
        <w:rPr>
          <w:lang w:val="ro-RO"/>
        </w:rPr>
        <w:t xml:space="preserve">ontinua să aplice Convenția Nr. </w:t>
      </w:r>
      <w:r>
        <w:rPr>
          <w:lang w:val="ro-RO"/>
        </w:rPr>
        <w:t xml:space="preserve">120 până la intrarea în vigoare a prezentei Convenții conform prevederilor Articolului 17.1. </w:t>
      </w:r>
    </w:p>
    <w:p w:rsidR="00FD232A" w:rsidRDefault="00FD232A" w:rsidP="00FD232A">
      <w:pPr>
        <w:jc w:val="both"/>
        <w:rPr>
          <w:lang w:val="ro-RO"/>
        </w:rPr>
      </w:pPr>
      <w:r>
        <w:rPr>
          <w:b/>
          <w:lang w:val="ro-RO"/>
        </w:rPr>
        <w:t xml:space="preserve">Articolul 17 – Intrarea în vigoare </w:t>
      </w:r>
      <w:r>
        <w:rPr>
          <w:lang w:val="ro-RO"/>
        </w:rPr>
        <w:t xml:space="preserve"> </w:t>
      </w:r>
    </w:p>
    <w:p w:rsidR="00FD232A" w:rsidRDefault="00FD232A" w:rsidP="00FD232A">
      <w:pPr>
        <w:pStyle w:val="Listparagraf"/>
        <w:numPr>
          <w:ilvl w:val="0"/>
          <w:numId w:val="19"/>
        </w:numPr>
        <w:jc w:val="both"/>
        <w:rPr>
          <w:lang w:val="ro-RO"/>
        </w:rPr>
      </w:pPr>
      <w:r>
        <w:rPr>
          <w:lang w:val="ro-RO"/>
        </w:rPr>
        <w:t xml:space="preserve">Convenția va intra în vigoare în prima zi a lunii </w:t>
      </w:r>
      <w:r w:rsidR="004B07E0">
        <w:rPr>
          <w:lang w:val="ro-RO"/>
        </w:rPr>
        <w:t>următoare</w:t>
      </w:r>
      <w:r>
        <w:rPr>
          <w:lang w:val="ro-RO"/>
        </w:rPr>
        <w:t xml:space="preserve"> de la data în care trei State membre ale Consiliului Europei și-au </w:t>
      </w:r>
      <w:r w:rsidR="00AB7AA4">
        <w:rPr>
          <w:lang w:val="ro-RO"/>
        </w:rPr>
        <w:t xml:space="preserve">dat acordul </w:t>
      </w:r>
      <w:r w:rsidR="004B07E0">
        <w:rPr>
          <w:lang w:val="ro-RO"/>
        </w:rPr>
        <w:t>de a se</w:t>
      </w:r>
      <w:r w:rsidR="00AB7AA4">
        <w:rPr>
          <w:lang w:val="ro-RO"/>
        </w:rPr>
        <w:t xml:space="preserve"> obliga să respecte</w:t>
      </w:r>
      <w:r>
        <w:rPr>
          <w:lang w:val="ro-RO"/>
        </w:rPr>
        <w:t xml:space="preserve"> Convenți</w:t>
      </w:r>
      <w:r w:rsidR="00AB7AA4">
        <w:rPr>
          <w:lang w:val="ro-RO"/>
        </w:rPr>
        <w:t>a</w:t>
      </w:r>
      <w:r>
        <w:rPr>
          <w:lang w:val="ro-RO"/>
        </w:rPr>
        <w:t xml:space="preserve"> în conformitate cu prevederile Articolului 16. </w:t>
      </w:r>
    </w:p>
    <w:p w:rsidR="002C3039" w:rsidRPr="00E42BC3" w:rsidRDefault="00531E07" w:rsidP="00E42BC3">
      <w:pPr>
        <w:pStyle w:val="Listparagraf"/>
        <w:numPr>
          <w:ilvl w:val="0"/>
          <w:numId w:val="19"/>
        </w:numPr>
        <w:jc w:val="both"/>
        <w:rPr>
          <w:lang w:val="ro-RO"/>
        </w:rPr>
      </w:pPr>
      <w:r>
        <w:rPr>
          <w:lang w:val="ro-RO"/>
        </w:rPr>
        <w:t xml:space="preserve">În ceea ce privește Statul Semnatar, care ulterior își exprimă acordul de a se obliga să respecte Convenția, aceasta va intra în vigoare în prima zi a lunii </w:t>
      </w:r>
      <w:r w:rsidR="004B07E0">
        <w:rPr>
          <w:lang w:val="ro-RO"/>
        </w:rPr>
        <w:t>următoare</w:t>
      </w:r>
      <w:r>
        <w:rPr>
          <w:lang w:val="ro-RO"/>
        </w:rPr>
        <w:t xml:space="preserve"> de la data</w:t>
      </w:r>
      <w:r w:rsidR="00612631">
        <w:rPr>
          <w:lang w:val="ro-RO"/>
        </w:rPr>
        <w:t xml:space="preserve"> depunerii documentului de ratificare, acceptare și aprobare. </w:t>
      </w:r>
    </w:p>
    <w:p w:rsidR="00A20759" w:rsidRDefault="00A20759" w:rsidP="00A20759">
      <w:pPr>
        <w:jc w:val="both"/>
        <w:rPr>
          <w:lang w:val="ro-RO"/>
        </w:rPr>
      </w:pPr>
      <w:r>
        <w:rPr>
          <w:b/>
          <w:lang w:val="ro-RO"/>
        </w:rPr>
        <w:t xml:space="preserve">Articolul 18 – Aderarea unui Stat care nu este membru </w:t>
      </w:r>
    </w:p>
    <w:p w:rsidR="00A20759" w:rsidRDefault="00A20759" w:rsidP="00A20759">
      <w:pPr>
        <w:pStyle w:val="Listparagraf"/>
        <w:numPr>
          <w:ilvl w:val="0"/>
          <w:numId w:val="20"/>
        </w:numPr>
        <w:jc w:val="both"/>
        <w:rPr>
          <w:lang w:val="ro-RO"/>
        </w:rPr>
      </w:pPr>
      <w:r>
        <w:rPr>
          <w:lang w:val="ro-RO"/>
        </w:rPr>
        <w:t xml:space="preserve">După intrarea în vigoare a </w:t>
      </w:r>
      <w:r w:rsidR="004B07E0">
        <w:rPr>
          <w:lang w:val="ro-RO"/>
        </w:rPr>
        <w:t xml:space="preserve">prezentei </w:t>
      </w:r>
      <w:r>
        <w:rPr>
          <w:lang w:val="ro-RO"/>
        </w:rPr>
        <w:t>Convenții, Comitetul Miniștrilor al Consiliului Europei, după consultarea Părțil</w:t>
      </w:r>
      <w:r w:rsidR="00010160">
        <w:rPr>
          <w:lang w:val="ro-RO"/>
        </w:rPr>
        <w:t>or</w:t>
      </w:r>
      <w:r>
        <w:rPr>
          <w:lang w:val="ro-RO"/>
        </w:rPr>
        <w:t>, poate invita un Stat al Consiliului Europei care nu este membru să adere la Convenție printr-o decizie majorita</w:t>
      </w:r>
      <w:r w:rsidR="00010160">
        <w:rPr>
          <w:lang w:val="ro-RO"/>
        </w:rPr>
        <w:t>ră</w:t>
      </w:r>
      <w:r>
        <w:rPr>
          <w:lang w:val="ro-RO"/>
        </w:rPr>
        <w:t xml:space="preserve">, fapt prevăzut </w:t>
      </w:r>
      <w:r w:rsidR="00010160">
        <w:rPr>
          <w:lang w:val="ro-RO"/>
        </w:rPr>
        <w:t>în</w:t>
      </w:r>
      <w:r>
        <w:rPr>
          <w:lang w:val="ro-RO"/>
        </w:rPr>
        <w:t xml:space="preserve"> Articolul 20.d al Statutului Consiliului Europei și prin votul unanim al reprezentanților Statelor Contractante, care au dreptul să facă parte din Comitetul de Miniștri. </w:t>
      </w:r>
    </w:p>
    <w:p w:rsidR="001A6DED" w:rsidRDefault="001A6DED" w:rsidP="00A20759">
      <w:pPr>
        <w:pStyle w:val="Listparagraf"/>
        <w:numPr>
          <w:ilvl w:val="0"/>
          <w:numId w:val="20"/>
        </w:numPr>
        <w:jc w:val="both"/>
        <w:rPr>
          <w:lang w:val="ro-RO"/>
        </w:rPr>
      </w:pPr>
      <w:r>
        <w:rPr>
          <w:lang w:val="ro-RO"/>
        </w:rPr>
        <w:t xml:space="preserve">În ceea ce privește orice Stat care aderă, Convenția va intra în vigoare în prima zi a lunii de după expirarea perioadei de o lună de la data depunerii documentului de aderare la Secretarul General al Consiliului Europei. </w:t>
      </w:r>
    </w:p>
    <w:p w:rsidR="001A6DED" w:rsidRDefault="001A6DED" w:rsidP="00A20759">
      <w:pPr>
        <w:pStyle w:val="Listparagraf"/>
        <w:numPr>
          <w:ilvl w:val="0"/>
          <w:numId w:val="20"/>
        </w:numPr>
        <w:jc w:val="both"/>
        <w:rPr>
          <w:lang w:val="ro-RO"/>
        </w:rPr>
      </w:pPr>
      <w:r>
        <w:rPr>
          <w:lang w:val="ro-RO"/>
        </w:rPr>
        <w:t>Parte</w:t>
      </w:r>
      <w:r w:rsidR="00010160">
        <w:rPr>
          <w:lang w:val="ro-RO"/>
        </w:rPr>
        <w:t>a</w:t>
      </w:r>
      <w:r>
        <w:rPr>
          <w:lang w:val="ro-RO"/>
        </w:rPr>
        <w:t xml:space="preserve"> care nu este Stat membru al Consiliului Europei va contribui la finanțarea Comitetului privind Siguranța și Securitatea în timpul Evenimentelor Sportive în modul decis de către Comitetul de Miniștri. </w:t>
      </w:r>
    </w:p>
    <w:p w:rsidR="001A6DED" w:rsidRDefault="001A6DED" w:rsidP="001A6DED">
      <w:pPr>
        <w:jc w:val="both"/>
        <w:rPr>
          <w:lang w:val="ro-RO"/>
        </w:rPr>
      </w:pPr>
      <w:r>
        <w:rPr>
          <w:b/>
          <w:lang w:val="ro-RO"/>
        </w:rPr>
        <w:t xml:space="preserve">Articolul 19 – Efectele Convenției </w:t>
      </w:r>
    </w:p>
    <w:p w:rsidR="0091266A" w:rsidRDefault="0091266A" w:rsidP="0091266A">
      <w:pPr>
        <w:pStyle w:val="Listparagraf"/>
        <w:numPr>
          <w:ilvl w:val="0"/>
          <w:numId w:val="21"/>
        </w:numPr>
        <w:jc w:val="both"/>
        <w:rPr>
          <w:lang w:val="ro-RO"/>
        </w:rPr>
      </w:pPr>
      <w:r>
        <w:rPr>
          <w:lang w:val="ro-RO"/>
        </w:rPr>
        <w:t xml:space="preserve">În relațiile dintre o Parte a acestei Convenții și o Parte a Convenției Nr. 120, care nu a ratificat prezenta Convenție, Articolul 4 și 5 ale Convenției Nr. 120 vor continua să se aplice. </w:t>
      </w:r>
    </w:p>
    <w:p w:rsidR="0091266A" w:rsidRDefault="0091266A" w:rsidP="0091266A">
      <w:pPr>
        <w:pStyle w:val="Listparagraf"/>
        <w:numPr>
          <w:ilvl w:val="0"/>
          <w:numId w:val="21"/>
        </w:numPr>
        <w:jc w:val="both"/>
        <w:rPr>
          <w:lang w:val="ro-RO"/>
        </w:rPr>
      </w:pPr>
      <w:r>
        <w:rPr>
          <w:lang w:val="ro-RO"/>
        </w:rPr>
        <w:t xml:space="preserve">După intrarea în vigoare a prezentei Convenții, dacă un Stat a denunțat Convenția Nr. 120, dar o astfel de denunțare nu este efectivă în momentul ratificării prezentei Convenții, această Convenție se va aplica conform prevederilor Articolului 17.2. </w:t>
      </w:r>
    </w:p>
    <w:p w:rsidR="004A58FD" w:rsidRDefault="004A58FD" w:rsidP="004A58FD">
      <w:pPr>
        <w:jc w:val="both"/>
        <w:rPr>
          <w:lang w:val="ro-RO"/>
        </w:rPr>
      </w:pPr>
      <w:r>
        <w:rPr>
          <w:b/>
          <w:lang w:val="ro-RO"/>
        </w:rPr>
        <w:t xml:space="preserve">Articolul 20 – Aplicarea teritorială </w:t>
      </w:r>
    </w:p>
    <w:p w:rsidR="004A58FD" w:rsidRDefault="004A58FD" w:rsidP="004A58FD">
      <w:pPr>
        <w:pStyle w:val="Listparagraf"/>
        <w:numPr>
          <w:ilvl w:val="0"/>
          <w:numId w:val="22"/>
        </w:numPr>
        <w:jc w:val="both"/>
        <w:rPr>
          <w:lang w:val="ro-RO"/>
        </w:rPr>
      </w:pPr>
      <w:r>
        <w:rPr>
          <w:lang w:val="ro-RO"/>
        </w:rPr>
        <w:t xml:space="preserve">Orice Stat poate, în momentul semnării sau depunerii documentului său de ratificare, acceptare, aprobare sau aderare, să specifice teritoriul sau teritoriile, în cadrul cărora Convenția se va aplica. </w:t>
      </w:r>
    </w:p>
    <w:p w:rsidR="00784E44" w:rsidRDefault="00784E44" w:rsidP="004A58FD">
      <w:pPr>
        <w:pStyle w:val="Listparagraf"/>
        <w:numPr>
          <w:ilvl w:val="0"/>
          <w:numId w:val="22"/>
        </w:numPr>
        <w:jc w:val="both"/>
        <w:rPr>
          <w:lang w:val="ro-RO"/>
        </w:rPr>
      </w:pPr>
      <w:r>
        <w:rPr>
          <w:lang w:val="ro-RO"/>
        </w:rPr>
        <w:t xml:space="preserve">Orice Parte </w:t>
      </w:r>
      <w:r w:rsidR="006779C3">
        <w:rPr>
          <w:lang w:val="ro-RO"/>
        </w:rPr>
        <w:t>poate, la orice dată ulterioară, prin declarați</w:t>
      </w:r>
      <w:r w:rsidR="004B07E0">
        <w:rPr>
          <w:lang w:val="ro-RO"/>
        </w:rPr>
        <w:t>a</w:t>
      </w:r>
      <w:r w:rsidR="006779C3">
        <w:rPr>
          <w:lang w:val="ro-RO"/>
        </w:rPr>
        <w:t xml:space="preserve"> adresată Secretarului General al Consiliului Europei, să extindă aplicarea acestei Convenții în cadr</w:t>
      </w:r>
      <w:r w:rsidR="00EC6F2F">
        <w:rPr>
          <w:lang w:val="ro-RO"/>
        </w:rPr>
        <w:t>ul oricărui alt teritoriu speci</w:t>
      </w:r>
      <w:r w:rsidR="006779C3">
        <w:rPr>
          <w:lang w:val="ro-RO"/>
        </w:rPr>
        <w:t>f</w:t>
      </w:r>
      <w:r w:rsidR="00EC6F2F">
        <w:rPr>
          <w:lang w:val="ro-RO"/>
        </w:rPr>
        <w:t>i</w:t>
      </w:r>
      <w:r w:rsidR="006779C3">
        <w:rPr>
          <w:lang w:val="ro-RO"/>
        </w:rPr>
        <w:t xml:space="preserve">cat în declarație. </w:t>
      </w:r>
      <w:r w:rsidR="00EC6F2F">
        <w:rPr>
          <w:lang w:val="ro-RO"/>
        </w:rPr>
        <w:t xml:space="preserve">În ceea ce privește un alt teritoriu, Convenția va intra în vigoare în prima zi a lunii de după expirarea perioadei de o lună de la data </w:t>
      </w:r>
      <w:r w:rsidR="004B07E0">
        <w:rPr>
          <w:lang w:val="ro-RO"/>
        </w:rPr>
        <w:t xml:space="preserve">recepţionării </w:t>
      </w:r>
      <w:r w:rsidR="00EC6F2F">
        <w:rPr>
          <w:lang w:val="ro-RO"/>
        </w:rPr>
        <w:t xml:space="preserve">declarației specificate mai sus de către Secretarul General. </w:t>
      </w:r>
    </w:p>
    <w:p w:rsidR="00E22407" w:rsidRDefault="00E22407" w:rsidP="004A58FD">
      <w:pPr>
        <w:pStyle w:val="Listparagraf"/>
        <w:numPr>
          <w:ilvl w:val="0"/>
          <w:numId w:val="22"/>
        </w:numPr>
        <w:jc w:val="both"/>
        <w:rPr>
          <w:lang w:val="ro-RO"/>
        </w:rPr>
      </w:pPr>
      <w:r>
        <w:rPr>
          <w:lang w:val="ro-RO"/>
        </w:rPr>
        <w:t>Orice declarație făcută conform ultimelor două paragrafe pot</w:t>
      </w:r>
      <w:r w:rsidR="004B07E0">
        <w:rPr>
          <w:lang w:val="ro-RO"/>
        </w:rPr>
        <w:t>,</w:t>
      </w:r>
      <w:r>
        <w:rPr>
          <w:lang w:val="ro-RO"/>
        </w:rPr>
        <w:t xml:space="preserve"> în ceea ce privește orice teritoriu menționat în declarație, să fie retrasă printr-o notificare adresată Secretarului General. Această retragere va deveni efectivă în prima zi a lunii de după expirarea perioadei de șase luni de la data primirii notificării de către Secretarul General. </w:t>
      </w:r>
    </w:p>
    <w:p w:rsidR="008D1B39" w:rsidRDefault="008D1B39" w:rsidP="008D1B39">
      <w:pPr>
        <w:jc w:val="both"/>
        <w:rPr>
          <w:lang w:val="ro-RO"/>
        </w:rPr>
      </w:pPr>
      <w:r>
        <w:rPr>
          <w:b/>
          <w:lang w:val="ro-RO"/>
        </w:rPr>
        <w:lastRenderedPageBreak/>
        <w:t xml:space="preserve">Articolul 21 – Denunțarea </w:t>
      </w:r>
    </w:p>
    <w:p w:rsidR="000D59D2" w:rsidRDefault="000D59D2" w:rsidP="000D59D2">
      <w:pPr>
        <w:pStyle w:val="Listparagraf"/>
        <w:numPr>
          <w:ilvl w:val="0"/>
          <w:numId w:val="23"/>
        </w:numPr>
        <w:jc w:val="both"/>
        <w:rPr>
          <w:lang w:val="ro-RO"/>
        </w:rPr>
      </w:pPr>
      <w:r>
        <w:rPr>
          <w:lang w:val="ro-RO"/>
        </w:rPr>
        <w:t xml:space="preserve">Orice Parte, </w:t>
      </w:r>
      <w:r w:rsidR="00010160">
        <w:rPr>
          <w:lang w:val="ro-RO"/>
        </w:rPr>
        <w:t xml:space="preserve">poate </w:t>
      </w:r>
      <w:r>
        <w:rPr>
          <w:lang w:val="ro-RO"/>
        </w:rPr>
        <w:t>denunț</w:t>
      </w:r>
      <w:r w:rsidR="00010160">
        <w:rPr>
          <w:lang w:val="ro-RO"/>
        </w:rPr>
        <w:t xml:space="preserve">a </w:t>
      </w:r>
      <w:r>
        <w:rPr>
          <w:lang w:val="ro-RO"/>
        </w:rPr>
        <w:t xml:space="preserve">această Convenție </w:t>
      </w:r>
      <w:r w:rsidR="004B07E0">
        <w:rPr>
          <w:lang w:val="ro-RO"/>
        </w:rPr>
        <w:t xml:space="preserve">în orice moment, </w:t>
      </w:r>
      <w:r>
        <w:rPr>
          <w:lang w:val="ro-RO"/>
        </w:rPr>
        <w:t>prin</w:t>
      </w:r>
      <w:r w:rsidR="00A86EAC">
        <w:rPr>
          <w:lang w:val="ro-RO"/>
        </w:rPr>
        <w:t>tr-o</w:t>
      </w:r>
      <w:r>
        <w:rPr>
          <w:lang w:val="ro-RO"/>
        </w:rPr>
        <w:t xml:space="preserve"> notific</w:t>
      </w:r>
      <w:r w:rsidR="00A86EAC">
        <w:rPr>
          <w:lang w:val="ro-RO"/>
        </w:rPr>
        <w:t>are</w:t>
      </w:r>
      <w:r>
        <w:rPr>
          <w:lang w:val="ro-RO"/>
        </w:rPr>
        <w:t xml:space="preserve"> adresat</w:t>
      </w:r>
      <w:r w:rsidR="00A86EAC">
        <w:rPr>
          <w:lang w:val="ro-RO"/>
        </w:rPr>
        <w:t>ă</w:t>
      </w:r>
      <w:r>
        <w:rPr>
          <w:lang w:val="ro-RO"/>
        </w:rPr>
        <w:t xml:space="preserve"> Secretarului General al Consiliului Europei. </w:t>
      </w:r>
    </w:p>
    <w:p w:rsidR="00182A7D" w:rsidRPr="00E42BC3" w:rsidRDefault="000D59D2" w:rsidP="00182A7D">
      <w:pPr>
        <w:pStyle w:val="Listparagraf"/>
        <w:numPr>
          <w:ilvl w:val="0"/>
          <w:numId w:val="23"/>
        </w:numPr>
        <w:jc w:val="both"/>
        <w:rPr>
          <w:lang w:val="ro-RO"/>
        </w:rPr>
      </w:pPr>
      <w:r>
        <w:rPr>
          <w:lang w:val="ro-RO"/>
        </w:rPr>
        <w:t xml:space="preserve">Această denunțare va deveni efectivă </w:t>
      </w:r>
      <w:r w:rsidR="00B23250">
        <w:rPr>
          <w:lang w:val="ro-RO"/>
        </w:rPr>
        <w:t>în prima zi a lunii după expirarea perioadei de șase luni de la data primirii notificării de către Secretarul General.</w:t>
      </w:r>
      <w:bookmarkStart w:id="0" w:name="_GoBack"/>
      <w:bookmarkEnd w:id="0"/>
    </w:p>
    <w:p w:rsidR="00B23250" w:rsidRDefault="00482703" w:rsidP="00B23250">
      <w:pPr>
        <w:jc w:val="both"/>
        <w:rPr>
          <w:lang w:val="ro-RO"/>
        </w:rPr>
      </w:pPr>
      <w:r>
        <w:rPr>
          <w:b/>
          <w:lang w:val="ro-RO"/>
        </w:rPr>
        <w:t>Articolul 22 – Notificări</w:t>
      </w:r>
      <w:r w:rsidR="00B23250">
        <w:rPr>
          <w:b/>
          <w:lang w:val="ro-RO"/>
        </w:rPr>
        <w:t xml:space="preserve"> </w:t>
      </w:r>
    </w:p>
    <w:p w:rsidR="002C3039" w:rsidRDefault="00B23250" w:rsidP="00182A7D">
      <w:pPr>
        <w:spacing w:after="120"/>
        <w:jc w:val="both"/>
        <w:rPr>
          <w:lang w:val="ro-RO"/>
        </w:rPr>
      </w:pPr>
      <w:r>
        <w:rPr>
          <w:lang w:val="ro-RO"/>
        </w:rPr>
        <w:t xml:space="preserve">Secretarul General al Consiliului Europei va notifica Statele membre, alte State Părți ale Convenției Culturale Europene și orice Stat care a aderat la prezenta Convenție, </w:t>
      </w:r>
      <w:r w:rsidR="00A86EAC">
        <w:rPr>
          <w:lang w:val="ro-RO"/>
        </w:rPr>
        <w:t>cu privire la</w:t>
      </w:r>
      <w:r>
        <w:rPr>
          <w:lang w:val="ro-RO"/>
        </w:rPr>
        <w:t xml:space="preserve">: </w:t>
      </w:r>
    </w:p>
    <w:p w:rsidR="00B23250" w:rsidRDefault="00A86EAC" w:rsidP="002C3039">
      <w:pPr>
        <w:pStyle w:val="Listparagraf"/>
        <w:numPr>
          <w:ilvl w:val="0"/>
          <w:numId w:val="24"/>
        </w:numPr>
        <w:spacing w:before="120" w:after="120"/>
        <w:ind w:left="714" w:hanging="357"/>
        <w:jc w:val="both"/>
        <w:rPr>
          <w:lang w:val="ro-RO"/>
        </w:rPr>
      </w:pPr>
      <w:r>
        <w:rPr>
          <w:lang w:val="ro-RO"/>
        </w:rPr>
        <w:t>o</w:t>
      </w:r>
      <w:r w:rsidR="00B23250">
        <w:rPr>
          <w:lang w:val="ro-RO"/>
        </w:rPr>
        <w:t xml:space="preserve">rice semnare în conformitate cu Articolul 16; </w:t>
      </w:r>
    </w:p>
    <w:p w:rsidR="00B23250" w:rsidRDefault="00A86EAC" w:rsidP="002C3039">
      <w:pPr>
        <w:pStyle w:val="Listparagraf"/>
        <w:numPr>
          <w:ilvl w:val="0"/>
          <w:numId w:val="24"/>
        </w:numPr>
        <w:spacing w:before="120" w:after="120"/>
        <w:ind w:left="714" w:hanging="357"/>
        <w:jc w:val="both"/>
        <w:rPr>
          <w:lang w:val="ro-RO"/>
        </w:rPr>
      </w:pPr>
      <w:r>
        <w:rPr>
          <w:lang w:val="ro-RO"/>
        </w:rPr>
        <w:t>d</w:t>
      </w:r>
      <w:r w:rsidR="00B23250">
        <w:rPr>
          <w:lang w:val="ro-RO"/>
        </w:rPr>
        <w:t xml:space="preserve">epunerea unui document de ratificare, acceptare, aprobare sau aderare în conformitate cu Articolul 16 sau Articolul 18; </w:t>
      </w:r>
    </w:p>
    <w:p w:rsidR="00F21646" w:rsidRDefault="00A86EAC" w:rsidP="002C3039">
      <w:pPr>
        <w:pStyle w:val="Listparagraf"/>
        <w:numPr>
          <w:ilvl w:val="0"/>
          <w:numId w:val="24"/>
        </w:numPr>
        <w:spacing w:before="120" w:after="120"/>
        <w:ind w:left="714" w:hanging="357"/>
        <w:jc w:val="both"/>
        <w:rPr>
          <w:lang w:val="ro-RO"/>
        </w:rPr>
      </w:pPr>
      <w:r>
        <w:rPr>
          <w:lang w:val="ro-RO"/>
        </w:rPr>
        <w:t>o</w:t>
      </w:r>
      <w:r w:rsidR="00F21646">
        <w:rPr>
          <w:lang w:val="ro-RO"/>
        </w:rPr>
        <w:t xml:space="preserve">rice dată de intrare în vigoare a prezentei Convenții în conformitate cu Articolele 17 și 18; </w:t>
      </w:r>
    </w:p>
    <w:p w:rsidR="00F21646" w:rsidRDefault="00A86EAC" w:rsidP="002C3039">
      <w:pPr>
        <w:pStyle w:val="Listparagraf"/>
        <w:numPr>
          <w:ilvl w:val="0"/>
          <w:numId w:val="24"/>
        </w:numPr>
        <w:spacing w:before="120" w:after="120"/>
        <w:ind w:left="714" w:hanging="357"/>
        <w:jc w:val="both"/>
        <w:rPr>
          <w:lang w:val="ro-RO"/>
        </w:rPr>
      </w:pPr>
      <w:r>
        <w:rPr>
          <w:lang w:val="ro-RO"/>
        </w:rPr>
        <w:t>o</w:t>
      </w:r>
      <w:r w:rsidR="00F21646">
        <w:rPr>
          <w:lang w:val="ro-RO"/>
        </w:rPr>
        <w:t xml:space="preserve">rice propunere de amendament sau orice amendament adoptat în conformitate cu Articolul 15 și data la </w:t>
      </w:r>
      <w:r w:rsidR="005B3D67">
        <w:rPr>
          <w:lang w:val="ro-RO"/>
        </w:rPr>
        <w:t xml:space="preserve">care </w:t>
      </w:r>
      <w:r w:rsidR="00F21646">
        <w:rPr>
          <w:lang w:val="ro-RO"/>
        </w:rPr>
        <w:t xml:space="preserve">amendamentul întră în vigoare; </w:t>
      </w:r>
    </w:p>
    <w:p w:rsidR="009234C2" w:rsidRDefault="00A86EAC" w:rsidP="002C3039">
      <w:pPr>
        <w:pStyle w:val="Listparagraf"/>
        <w:numPr>
          <w:ilvl w:val="0"/>
          <w:numId w:val="24"/>
        </w:numPr>
        <w:spacing w:before="120" w:after="120"/>
        <w:ind w:left="714" w:hanging="357"/>
        <w:jc w:val="both"/>
        <w:rPr>
          <w:lang w:val="ro-RO"/>
        </w:rPr>
      </w:pPr>
      <w:r>
        <w:rPr>
          <w:lang w:val="ro-RO"/>
        </w:rPr>
        <w:t>o</w:t>
      </w:r>
      <w:r w:rsidR="009234C2">
        <w:rPr>
          <w:lang w:val="ro-RO"/>
        </w:rPr>
        <w:t xml:space="preserve">rice declarație făcută în baza prevederilor Articolului 20; </w:t>
      </w:r>
    </w:p>
    <w:p w:rsidR="009234C2" w:rsidRDefault="00A86EAC" w:rsidP="002C3039">
      <w:pPr>
        <w:pStyle w:val="Listparagraf"/>
        <w:numPr>
          <w:ilvl w:val="0"/>
          <w:numId w:val="24"/>
        </w:numPr>
        <w:spacing w:before="120" w:after="120"/>
        <w:ind w:left="714" w:hanging="357"/>
        <w:jc w:val="both"/>
        <w:rPr>
          <w:lang w:val="ro-RO"/>
        </w:rPr>
      </w:pPr>
      <w:r>
        <w:rPr>
          <w:lang w:val="ro-RO"/>
        </w:rPr>
        <w:t>o</w:t>
      </w:r>
      <w:r w:rsidR="009234C2">
        <w:rPr>
          <w:lang w:val="ro-RO"/>
        </w:rPr>
        <w:t xml:space="preserve">rice denunțare făcută în conformitate cu prevederile Articolului 21; </w:t>
      </w:r>
    </w:p>
    <w:p w:rsidR="009234C2" w:rsidRDefault="00A86EAC" w:rsidP="002C3039">
      <w:pPr>
        <w:pStyle w:val="Listparagraf"/>
        <w:numPr>
          <w:ilvl w:val="0"/>
          <w:numId w:val="24"/>
        </w:numPr>
        <w:spacing w:before="120" w:after="120"/>
        <w:ind w:left="714" w:hanging="357"/>
        <w:jc w:val="both"/>
        <w:rPr>
          <w:lang w:val="ro-RO"/>
        </w:rPr>
      </w:pPr>
      <w:r>
        <w:rPr>
          <w:lang w:val="ro-RO"/>
        </w:rPr>
        <w:t>o</w:t>
      </w:r>
      <w:r w:rsidR="009234C2">
        <w:rPr>
          <w:lang w:val="ro-RO"/>
        </w:rPr>
        <w:t>rice al</w:t>
      </w:r>
      <w:r w:rsidR="00665BE1">
        <w:rPr>
          <w:lang w:val="ro-RO"/>
        </w:rPr>
        <w:t>t</w:t>
      </w:r>
      <w:r w:rsidR="009234C2">
        <w:rPr>
          <w:lang w:val="ro-RO"/>
        </w:rPr>
        <w:t xml:space="preserve"> act, declarație, notificare sau comunicare </w:t>
      </w:r>
      <w:r w:rsidR="00DF029C">
        <w:rPr>
          <w:lang w:val="ro-RO"/>
        </w:rPr>
        <w:t xml:space="preserve">ce ţine </w:t>
      </w:r>
      <w:r w:rsidR="009234C2">
        <w:rPr>
          <w:lang w:val="ro-RO"/>
        </w:rPr>
        <w:t xml:space="preserve">de prezenta Convenție. </w:t>
      </w:r>
    </w:p>
    <w:p w:rsidR="00E21948" w:rsidRDefault="00E21948" w:rsidP="00E21948">
      <w:pPr>
        <w:jc w:val="both"/>
        <w:rPr>
          <w:lang w:val="ro-RO"/>
        </w:rPr>
      </w:pPr>
      <w:r>
        <w:rPr>
          <w:lang w:val="ro-RO"/>
        </w:rPr>
        <w:t>Drept pentru care subsemnații, fiind autoriza</w:t>
      </w:r>
      <w:r w:rsidR="00665BE1">
        <w:rPr>
          <w:lang w:val="ro-RO"/>
        </w:rPr>
        <w:t>ţi</w:t>
      </w:r>
      <w:r>
        <w:rPr>
          <w:lang w:val="ro-RO"/>
        </w:rPr>
        <w:t xml:space="preserve"> în mod corespunzător, au semnat această Convenție. </w:t>
      </w:r>
    </w:p>
    <w:p w:rsidR="00E21948" w:rsidRPr="00E21948" w:rsidRDefault="00E21948" w:rsidP="00E21948">
      <w:pPr>
        <w:jc w:val="both"/>
        <w:rPr>
          <w:lang w:val="ro-RO"/>
        </w:rPr>
      </w:pPr>
      <w:r>
        <w:rPr>
          <w:lang w:val="ro-RO"/>
        </w:rPr>
        <w:t>Întocmită la [Saint-Denis], la dat</w:t>
      </w:r>
      <w:r w:rsidR="00DF029C">
        <w:rPr>
          <w:lang w:val="ro-RO"/>
        </w:rPr>
        <w:t>a</w:t>
      </w:r>
      <w:r>
        <w:rPr>
          <w:lang w:val="ro-RO"/>
        </w:rPr>
        <w:t xml:space="preserve"> de [</w:t>
      </w:r>
      <w:r w:rsidR="004829BE">
        <w:rPr>
          <w:lang w:val="ro-RO"/>
        </w:rPr>
        <w:t>3</w:t>
      </w:r>
      <w:r>
        <w:rPr>
          <w:lang w:val="ro-RO"/>
        </w:rPr>
        <w:t>]</w:t>
      </w:r>
      <w:r w:rsidR="004829BE">
        <w:rPr>
          <w:lang w:val="ro-RO"/>
        </w:rPr>
        <w:t xml:space="preserve"> </w:t>
      </w:r>
      <w:r>
        <w:rPr>
          <w:lang w:val="ro-RO"/>
        </w:rPr>
        <w:t>[</w:t>
      </w:r>
      <w:r w:rsidR="004829BE">
        <w:rPr>
          <w:lang w:val="ro-RO"/>
        </w:rPr>
        <w:t>iulie 2016</w:t>
      </w:r>
      <w:r>
        <w:rPr>
          <w:lang w:val="ro-RO"/>
        </w:rPr>
        <w:t>]</w:t>
      </w:r>
      <w:r w:rsidR="004829BE">
        <w:rPr>
          <w:lang w:val="ro-RO"/>
        </w:rPr>
        <w:t xml:space="preserve"> în limbile engleză și franceză, ambele texte fiind în egală măsură autentice, o copie a acestora se va păstra în arhivele Consiliului Europei. Secreterul General al Consiliului Europei va transmite copiile certificate către orice Stat membru al Consiliului Europei, către orice Stat Parte a Convenției Culturale Europene, și oricărui Stat care este invitat să adere la prezenta Convenție. </w:t>
      </w:r>
    </w:p>
    <w:sectPr w:rsidR="00E21948" w:rsidRPr="00E21948" w:rsidSect="007C30FF">
      <w:headerReference w:type="default" r:id="rId10"/>
      <w:footerReference w:type="defaul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AC9" w:rsidRDefault="00D97AC9" w:rsidP="007C30FF">
      <w:pPr>
        <w:spacing w:after="0" w:line="240" w:lineRule="auto"/>
      </w:pPr>
      <w:r>
        <w:separator/>
      </w:r>
    </w:p>
  </w:endnote>
  <w:endnote w:type="continuationSeparator" w:id="0">
    <w:p w:rsidR="00D97AC9" w:rsidRDefault="00D97AC9" w:rsidP="007C3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BC3" w:rsidRDefault="00E42BC3">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BC3" w:rsidRDefault="00E42BC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AC9" w:rsidRDefault="00D97AC9" w:rsidP="007C30FF">
      <w:pPr>
        <w:spacing w:after="0" w:line="240" w:lineRule="auto"/>
      </w:pPr>
      <w:r>
        <w:separator/>
      </w:r>
    </w:p>
  </w:footnote>
  <w:footnote w:type="continuationSeparator" w:id="0">
    <w:p w:rsidR="00D97AC9" w:rsidRDefault="00D97AC9" w:rsidP="007C30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A6" w:rsidRPr="007C30FF" w:rsidRDefault="00EC68A6" w:rsidP="007C30FF">
    <w:pPr>
      <w:pStyle w:val="Antet"/>
      <w:tabs>
        <w:tab w:val="left" w:pos="7655"/>
      </w:tabs>
      <w:jc w:val="center"/>
      <w:rPr>
        <w:lang w:val="ro-RO"/>
      </w:rPr>
    </w:pPr>
    <w:r>
      <w:rPr>
        <w:lang w:val="ro-RO"/>
      </w:rPr>
      <w:t>CETS [218] – Abordarea integrată privind siguranța, securitatea și deservirea în timpul evenimentelor sportive, [3.VII.2016]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731"/>
    <w:multiLevelType w:val="hybridMultilevel"/>
    <w:tmpl w:val="48185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B6C0D"/>
    <w:multiLevelType w:val="hybridMultilevel"/>
    <w:tmpl w:val="EA9AB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A6A2F"/>
    <w:multiLevelType w:val="hybridMultilevel"/>
    <w:tmpl w:val="3378D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5E15A9"/>
    <w:multiLevelType w:val="hybridMultilevel"/>
    <w:tmpl w:val="1D44F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677EB"/>
    <w:multiLevelType w:val="hybridMultilevel"/>
    <w:tmpl w:val="83503DD6"/>
    <w:lvl w:ilvl="0" w:tplc="67FCCDA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A1F5960"/>
    <w:multiLevelType w:val="hybridMultilevel"/>
    <w:tmpl w:val="B1569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85286F"/>
    <w:multiLevelType w:val="hybridMultilevel"/>
    <w:tmpl w:val="CE588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2940D9"/>
    <w:multiLevelType w:val="hybridMultilevel"/>
    <w:tmpl w:val="F28807F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9150AF"/>
    <w:multiLevelType w:val="hybridMultilevel"/>
    <w:tmpl w:val="22568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214FD2"/>
    <w:multiLevelType w:val="hybridMultilevel"/>
    <w:tmpl w:val="71568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984803"/>
    <w:multiLevelType w:val="hybridMultilevel"/>
    <w:tmpl w:val="4AB44520"/>
    <w:lvl w:ilvl="0" w:tplc="287688B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2C05C6"/>
    <w:multiLevelType w:val="hybridMultilevel"/>
    <w:tmpl w:val="E6FC0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B30959"/>
    <w:multiLevelType w:val="hybridMultilevel"/>
    <w:tmpl w:val="8CD69A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3E2DE7"/>
    <w:multiLevelType w:val="hybridMultilevel"/>
    <w:tmpl w:val="B9D80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04D6C"/>
    <w:multiLevelType w:val="hybridMultilevel"/>
    <w:tmpl w:val="C9707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316B41"/>
    <w:multiLevelType w:val="hybridMultilevel"/>
    <w:tmpl w:val="8E7A4C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9E2BC1"/>
    <w:multiLevelType w:val="hybridMultilevel"/>
    <w:tmpl w:val="3BD4B4A4"/>
    <w:lvl w:ilvl="0" w:tplc="F83EFB9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1C0B01"/>
    <w:multiLevelType w:val="hybridMultilevel"/>
    <w:tmpl w:val="CBAC4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A4502D"/>
    <w:multiLevelType w:val="hybridMultilevel"/>
    <w:tmpl w:val="DE90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3C2E06"/>
    <w:multiLevelType w:val="hybridMultilevel"/>
    <w:tmpl w:val="DD36081E"/>
    <w:lvl w:ilvl="0" w:tplc="98DEFD60">
      <w:numFmt w:val="bullet"/>
      <w:lvlText w:val="-"/>
      <w:lvlJc w:val="left"/>
      <w:pPr>
        <w:ind w:left="1080" w:hanging="360"/>
      </w:pPr>
      <w:rPr>
        <w:rFonts w:ascii="Calibri" w:eastAsiaTheme="minorHAnsi" w:hAnsi="Calibri"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0443BB4"/>
    <w:multiLevelType w:val="hybridMultilevel"/>
    <w:tmpl w:val="B2EED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5AC1FBF"/>
    <w:multiLevelType w:val="hybridMultilevel"/>
    <w:tmpl w:val="18E2E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BE2A22"/>
    <w:multiLevelType w:val="hybridMultilevel"/>
    <w:tmpl w:val="1786C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F27BB1"/>
    <w:multiLevelType w:val="hybridMultilevel"/>
    <w:tmpl w:val="A0985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5"/>
  </w:num>
  <w:num w:numId="3">
    <w:abstractNumId w:val="12"/>
  </w:num>
  <w:num w:numId="4">
    <w:abstractNumId w:val="2"/>
  </w:num>
  <w:num w:numId="5">
    <w:abstractNumId w:val="14"/>
  </w:num>
  <w:num w:numId="6">
    <w:abstractNumId w:val="19"/>
  </w:num>
  <w:num w:numId="7">
    <w:abstractNumId w:val="1"/>
  </w:num>
  <w:num w:numId="8">
    <w:abstractNumId w:val="16"/>
  </w:num>
  <w:num w:numId="9">
    <w:abstractNumId w:val="5"/>
  </w:num>
  <w:num w:numId="10">
    <w:abstractNumId w:val="21"/>
  </w:num>
  <w:num w:numId="11">
    <w:abstractNumId w:val="22"/>
  </w:num>
  <w:num w:numId="12">
    <w:abstractNumId w:val="20"/>
  </w:num>
  <w:num w:numId="13">
    <w:abstractNumId w:val="4"/>
  </w:num>
  <w:num w:numId="14">
    <w:abstractNumId w:val="0"/>
  </w:num>
  <w:num w:numId="15">
    <w:abstractNumId w:val="6"/>
  </w:num>
  <w:num w:numId="16">
    <w:abstractNumId w:val="10"/>
  </w:num>
  <w:num w:numId="17">
    <w:abstractNumId w:val="13"/>
  </w:num>
  <w:num w:numId="18">
    <w:abstractNumId w:val="17"/>
  </w:num>
  <w:num w:numId="19">
    <w:abstractNumId w:val="9"/>
  </w:num>
  <w:num w:numId="20">
    <w:abstractNumId w:val="8"/>
  </w:num>
  <w:num w:numId="21">
    <w:abstractNumId w:val="18"/>
  </w:num>
  <w:num w:numId="22">
    <w:abstractNumId w:val="3"/>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404"/>
    <w:rsid w:val="0000177C"/>
    <w:rsid w:val="00010160"/>
    <w:rsid w:val="000113F2"/>
    <w:rsid w:val="0001506A"/>
    <w:rsid w:val="00017B8A"/>
    <w:rsid w:val="00020615"/>
    <w:rsid w:val="00074701"/>
    <w:rsid w:val="000752D8"/>
    <w:rsid w:val="00092E15"/>
    <w:rsid w:val="0009550B"/>
    <w:rsid w:val="000D4A24"/>
    <w:rsid w:val="000D59D2"/>
    <w:rsid w:val="000F512E"/>
    <w:rsid w:val="00100F96"/>
    <w:rsid w:val="00103118"/>
    <w:rsid w:val="00111B13"/>
    <w:rsid w:val="001342FF"/>
    <w:rsid w:val="00146DD3"/>
    <w:rsid w:val="00157323"/>
    <w:rsid w:val="00176F5E"/>
    <w:rsid w:val="00182A7D"/>
    <w:rsid w:val="00186FC8"/>
    <w:rsid w:val="001A2362"/>
    <w:rsid w:val="001A6DED"/>
    <w:rsid w:val="001C0962"/>
    <w:rsid w:val="001C4BB6"/>
    <w:rsid w:val="001C7058"/>
    <w:rsid w:val="001D457F"/>
    <w:rsid w:val="001D4BE9"/>
    <w:rsid w:val="001E3EDA"/>
    <w:rsid w:val="001F2263"/>
    <w:rsid w:val="001F5A45"/>
    <w:rsid w:val="00207FA2"/>
    <w:rsid w:val="00237222"/>
    <w:rsid w:val="0024093A"/>
    <w:rsid w:val="002428FA"/>
    <w:rsid w:val="002447BF"/>
    <w:rsid w:val="002578DC"/>
    <w:rsid w:val="002649AB"/>
    <w:rsid w:val="002649EA"/>
    <w:rsid w:val="0027191B"/>
    <w:rsid w:val="002A20A0"/>
    <w:rsid w:val="002A213D"/>
    <w:rsid w:val="002C0201"/>
    <w:rsid w:val="002C3039"/>
    <w:rsid w:val="002F0958"/>
    <w:rsid w:val="002F3D7F"/>
    <w:rsid w:val="002F5505"/>
    <w:rsid w:val="0031513B"/>
    <w:rsid w:val="003208B1"/>
    <w:rsid w:val="00325DD8"/>
    <w:rsid w:val="0034056E"/>
    <w:rsid w:val="0036320D"/>
    <w:rsid w:val="00364448"/>
    <w:rsid w:val="00372D26"/>
    <w:rsid w:val="00387056"/>
    <w:rsid w:val="00393338"/>
    <w:rsid w:val="003B6237"/>
    <w:rsid w:val="003B64FA"/>
    <w:rsid w:val="00407FA7"/>
    <w:rsid w:val="00414325"/>
    <w:rsid w:val="00427B6F"/>
    <w:rsid w:val="0044051B"/>
    <w:rsid w:val="004554F1"/>
    <w:rsid w:val="00482703"/>
    <w:rsid w:val="004829BE"/>
    <w:rsid w:val="0048353F"/>
    <w:rsid w:val="004A58FD"/>
    <w:rsid w:val="004B07E0"/>
    <w:rsid w:val="004B7228"/>
    <w:rsid w:val="004C0FC6"/>
    <w:rsid w:val="004D3A57"/>
    <w:rsid w:val="004F16D9"/>
    <w:rsid w:val="00531E07"/>
    <w:rsid w:val="0055175C"/>
    <w:rsid w:val="005522A4"/>
    <w:rsid w:val="005811C3"/>
    <w:rsid w:val="00581459"/>
    <w:rsid w:val="005877C4"/>
    <w:rsid w:val="0059671C"/>
    <w:rsid w:val="005B3D67"/>
    <w:rsid w:val="005D1C66"/>
    <w:rsid w:val="005D5FC6"/>
    <w:rsid w:val="00600C58"/>
    <w:rsid w:val="0060653E"/>
    <w:rsid w:val="00612631"/>
    <w:rsid w:val="006407CB"/>
    <w:rsid w:val="00645A54"/>
    <w:rsid w:val="00665BE1"/>
    <w:rsid w:val="00667FFA"/>
    <w:rsid w:val="006779C3"/>
    <w:rsid w:val="00682467"/>
    <w:rsid w:val="00691376"/>
    <w:rsid w:val="006934BA"/>
    <w:rsid w:val="006B7F5A"/>
    <w:rsid w:val="006C0DA9"/>
    <w:rsid w:val="006F2532"/>
    <w:rsid w:val="0070340F"/>
    <w:rsid w:val="007278C9"/>
    <w:rsid w:val="007366F6"/>
    <w:rsid w:val="00762FA7"/>
    <w:rsid w:val="0077074A"/>
    <w:rsid w:val="00781403"/>
    <w:rsid w:val="00784E44"/>
    <w:rsid w:val="00786C87"/>
    <w:rsid w:val="0079143A"/>
    <w:rsid w:val="007C30FF"/>
    <w:rsid w:val="007C6B03"/>
    <w:rsid w:val="00810E69"/>
    <w:rsid w:val="00813BC0"/>
    <w:rsid w:val="00814079"/>
    <w:rsid w:val="00816B55"/>
    <w:rsid w:val="008254BD"/>
    <w:rsid w:val="00852D55"/>
    <w:rsid w:val="00853986"/>
    <w:rsid w:val="00877DB2"/>
    <w:rsid w:val="008849F1"/>
    <w:rsid w:val="008B0E96"/>
    <w:rsid w:val="008B6CA8"/>
    <w:rsid w:val="008D1B39"/>
    <w:rsid w:val="008D67B8"/>
    <w:rsid w:val="008E623A"/>
    <w:rsid w:val="00911D42"/>
    <w:rsid w:val="0091266A"/>
    <w:rsid w:val="00912AC9"/>
    <w:rsid w:val="009234C2"/>
    <w:rsid w:val="00923B6F"/>
    <w:rsid w:val="00925CC0"/>
    <w:rsid w:val="0093012A"/>
    <w:rsid w:val="00955C1A"/>
    <w:rsid w:val="00963B6E"/>
    <w:rsid w:val="00980B3F"/>
    <w:rsid w:val="00981558"/>
    <w:rsid w:val="0098641D"/>
    <w:rsid w:val="009C0EC2"/>
    <w:rsid w:val="009E01A1"/>
    <w:rsid w:val="009F4D8B"/>
    <w:rsid w:val="009F4DE7"/>
    <w:rsid w:val="00A0065B"/>
    <w:rsid w:val="00A01F4E"/>
    <w:rsid w:val="00A05404"/>
    <w:rsid w:val="00A07371"/>
    <w:rsid w:val="00A20759"/>
    <w:rsid w:val="00A215DC"/>
    <w:rsid w:val="00A353D6"/>
    <w:rsid w:val="00A526D9"/>
    <w:rsid w:val="00A56C1A"/>
    <w:rsid w:val="00A57BC2"/>
    <w:rsid w:val="00A60108"/>
    <w:rsid w:val="00A61F43"/>
    <w:rsid w:val="00A730B4"/>
    <w:rsid w:val="00A86EAC"/>
    <w:rsid w:val="00A97334"/>
    <w:rsid w:val="00AB7AA4"/>
    <w:rsid w:val="00AD2CFD"/>
    <w:rsid w:val="00AE45E1"/>
    <w:rsid w:val="00AF3A84"/>
    <w:rsid w:val="00AF5C2A"/>
    <w:rsid w:val="00B15BB2"/>
    <w:rsid w:val="00B23250"/>
    <w:rsid w:val="00B246F2"/>
    <w:rsid w:val="00B51CCC"/>
    <w:rsid w:val="00B63964"/>
    <w:rsid w:val="00B66EF4"/>
    <w:rsid w:val="00BA5B58"/>
    <w:rsid w:val="00BC00F6"/>
    <w:rsid w:val="00BE3D99"/>
    <w:rsid w:val="00C05EEC"/>
    <w:rsid w:val="00C152AA"/>
    <w:rsid w:val="00C30328"/>
    <w:rsid w:val="00C419B7"/>
    <w:rsid w:val="00C61E34"/>
    <w:rsid w:val="00C62934"/>
    <w:rsid w:val="00C844F0"/>
    <w:rsid w:val="00C87D38"/>
    <w:rsid w:val="00CA2D22"/>
    <w:rsid w:val="00CD5DE8"/>
    <w:rsid w:val="00CF6CCA"/>
    <w:rsid w:val="00D5323A"/>
    <w:rsid w:val="00D75DE8"/>
    <w:rsid w:val="00D86941"/>
    <w:rsid w:val="00D97AC9"/>
    <w:rsid w:val="00DA0B8E"/>
    <w:rsid w:val="00DA2A01"/>
    <w:rsid w:val="00DB7484"/>
    <w:rsid w:val="00DC26D6"/>
    <w:rsid w:val="00DC480C"/>
    <w:rsid w:val="00DC6224"/>
    <w:rsid w:val="00DF029C"/>
    <w:rsid w:val="00E14032"/>
    <w:rsid w:val="00E21948"/>
    <w:rsid w:val="00E22407"/>
    <w:rsid w:val="00E42BC3"/>
    <w:rsid w:val="00E517E9"/>
    <w:rsid w:val="00E74B7A"/>
    <w:rsid w:val="00E85D7D"/>
    <w:rsid w:val="00E93082"/>
    <w:rsid w:val="00EA4F85"/>
    <w:rsid w:val="00EC68A6"/>
    <w:rsid w:val="00EC6F2F"/>
    <w:rsid w:val="00EF5D7F"/>
    <w:rsid w:val="00EF6C19"/>
    <w:rsid w:val="00F21646"/>
    <w:rsid w:val="00F3685E"/>
    <w:rsid w:val="00F42A6E"/>
    <w:rsid w:val="00F44CB4"/>
    <w:rsid w:val="00F92F43"/>
    <w:rsid w:val="00FD2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7C30FF"/>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7C30FF"/>
  </w:style>
  <w:style w:type="paragraph" w:styleId="Subsol">
    <w:name w:val="footer"/>
    <w:basedOn w:val="Normal"/>
    <w:link w:val="SubsolCaracter"/>
    <w:uiPriority w:val="99"/>
    <w:unhideWhenUsed/>
    <w:rsid w:val="007C30FF"/>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7C30FF"/>
  </w:style>
  <w:style w:type="paragraph" w:styleId="Listparagraf">
    <w:name w:val="List Paragraph"/>
    <w:basedOn w:val="Normal"/>
    <w:uiPriority w:val="34"/>
    <w:qFormat/>
    <w:rsid w:val="006407CB"/>
    <w:pPr>
      <w:ind w:left="720"/>
      <w:contextualSpacing/>
    </w:pPr>
  </w:style>
  <w:style w:type="paragraph" w:styleId="TextnBalon">
    <w:name w:val="Balloon Text"/>
    <w:basedOn w:val="Normal"/>
    <w:link w:val="TextnBalonCaracter"/>
    <w:uiPriority w:val="99"/>
    <w:semiHidden/>
    <w:unhideWhenUsed/>
    <w:rsid w:val="0085398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539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7C30FF"/>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7C30FF"/>
  </w:style>
  <w:style w:type="paragraph" w:styleId="Subsol">
    <w:name w:val="footer"/>
    <w:basedOn w:val="Normal"/>
    <w:link w:val="SubsolCaracter"/>
    <w:uiPriority w:val="99"/>
    <w:unhideWhenUsed/>
    <w:rsid w:val="007C30FF"/>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7C30FF"/>
  </w:style>
  <w:style w:type="paragraph" w:styleId="Listparagraf">
    <w:name w:val="List Paragraph"/>
    <w:basedOn w:val="Normal"/>
    <w:uiPriority w:val="34"/>
    <w:qFormat/>
    <w:rsid w:val="006407CB"/>
    <w:pPr>
      <w:ind w:left="720"/>
      <w:contextualSpacing/>
    </w:pPr>
  </w:style>
  <w:style w:type="paragraph" w:styleId="TextnBalon">
    <w:name w:val="Balloon Text"/>
    <w:basedOn w:val="Normal"/>
    <w:link w:val="TextnBalonCaracter"/>
    <w:uiPriority w:val="99"/>
    <w:semiHidden/>
    <w:unhideWhenUsed/>
    <w:rsid w:val="0085398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53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56D6E-8BF2-4518-984F-6D074883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4475</Words>
  <Characters>25514</Characters>
  <Application>Microsoft Office Word</Application>
  <DocSecurity>0</DocSecurity>
  <Lines>212</Lines>
  <Paragraphs>59</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CtrlSoft</Company>
  <LinksUpToDate>false</LinksUpToDate>
  <CharactersWithSpaces>29930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TMD User</cp:lastModifiedBy>
  <cp:revision>25</cp:revision>
  <cp:lastPrinted>2016-07-14T10:21:00Z</cp:lastPrinted>
  <dcterms:created xsi:type="dcterms:W3CDTF">2016-06-10T05:28:00Z</dcterms:created>
  <dcterms:modified xsi:type="dcterms:W3CDTF">2016-07-15T07:39:00Z</dcterms:modified>
</cp:coreProperties>
</file>