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720"/>
        <w:gridCol w:w="1440"/>
        <w:gridCol w:w="540"/>
        <w:gridCol w:w="1440"/>
        <w:gridCol w:w="1067"/>
        <w:gridCol w:w="553"/>
        <w:gridCol w:w="4140"/>
      </w:tblGrid>
      <w:tr w:rsidR="001B1A6A" w:rsidRPr="00EC0324">
        <w:trPr>
          <w:trHeight w:val="1416"/>
        </w:trPr>
        <w:tc>
          <w:tcPr>
            <w:tcW w:w="4140" w:type="dxa"/>
            <w:gridSpan w:val="4"/>
          </w:tcPr>
          <w:p w:rsidR="001B1A6A" w:rsidRPr="00EC0324" w:rsidRDefault="001B1A6A" w:rsidP="004306EA">
            <w:pPr>
              <w:spacing w:line="276" w:lineRule="auto"/>
              <w:jc w:val="center"/>
              <w:rPr>
                <w:b/>
                <w:lang w:val="ro-RO"/>
              </w:rPr>
            </w:pPr>
          </w:p>
          <w:p w:rsidR="001B1A6A" w:rsidRPr="00EC0324" w:rsidRDefault="001B1A6A" w:rsidP="004306EA">
            <w:pPr>
              <w:spacing w:line="276" w:lineRule="auto"/>
              <w:jc w:val="center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MINISTERUL FINANŢELOR</w:t>
            </w:r>
          </w:p>
          <w:p w:rsidR="001B1A6A" w:rsidRPr="00EC0324" w:rsidRDefault="001B1A6A" w:rsidP="004306EA">
            <w:pPr>
              <w:spacing w:line="276" w:lineRule="auto"/>
              <w:jc w:val="center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</w:p>
        </w:tc>
        <w:tc>
          <w:tcPr>
            <w:tcW w:w="1620" w:type="dxa"/>
            <w:gridSpan w:val="2"/>
          </w:tcPr>
          <w:p w:rsidR="001B1A6A" w:rsidRPr="00EC0324" w:rsidRDefault="00BC0C6A" w:rsidP="004306EA">
            <w:pPr>
              <w:spacing w:line="276" w:lineRule="auto"/>
              <w:jc w:val="center"/>
              <w:rPr>
                <w:rFonts w:ascii="Academy" w:hAnsi="Academy"/>
                <w:lang w:val="ro-RO"/>
              </w:rPr>
            </w:pPr>
            <w:r>
              <w:rPr>
                <w:rFonts w:ascii="Academy" w:hAnsi="Academy"/>
                <w:noProof/>
              </w:rPr>
              <w:drawing>
                <wp:inline distT="0" distB="0" distL="0" distR="0">
                  <wp:extent cx="795655" cy="948055"/>
                  <wp:effectExtent l="19050" t="0" r="4445" b="0"/>
                  <wp:docPr id="1" name="Imagin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94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1A6A" w:rsidRPr="00EC0324" w:rsidRDefault="001B1A6A" w:rsidP="004306EA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1B1A6A" w:rsidRPr="00EC0324" w:rsidRDefault="001B1A6A" w:rsidP="004306EA">
            <w:pPr>
              <w:spacing w:line="276" w:lineRule="auto"/>
              <w:jc w:val="center"/>
              <w:rPr>
                <w:b/>
                <w:lang w:val="ro-RO"/>
              </w:rPr>
            </w:pPr>
          </w:p>
          <w:p w:rsidR="001B1A6A" w:rsidRPr="00EC0324" w:rsidRDefault="001B1A6A" w:rsidP="004306EA">
            <w:pPr>
              <w:spacing w:line="276" w:lineRule="auto"/>
              <w:jc w:val="center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МИНИСТЕРСТВО ФИНАНСОВ</w:t>
            </w:r>
          </w:p>
          <w:p w:rsidR="001B1A6A" w:rsidRPr="00EC0324" w:rsidRDefault="001B1A6A" w:rsidP="004306EA">
            <w:pPr>
              <w:spacing w:line="276" w:lineRule="auto"/>
              <w:jc w:val="center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РЕСПУБЛИКИ МОЛДОВА</w:t>
            </w:r>
          </w:p>
        </w:tc>
      </w:tr>
      <w:tr w:rsidR="001B1A6A" w:rsidRPr="00642186">
        <w:tc>
          <w:tcPr>
            <w:tcW w:w="9900" w:type="dxa"/>
            <w:gridSpan w:val="7"/>
          </w:tcPr>
          <w:p w:rsidR="00E00DA0" w:rsidRPr="00EC0324" w:rsidRDefault="00E00DA0" w:rsidP="00E00DA0">
            <w:pPr>
              <w:spacing w:line="276" w:lineRule="auto"/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MD-</w:t>
            </w:r>
            <w:r w:rsidRPr="00EC0324">
              <w:rPr>
                <w:sz w:val="22"/>
                <w:lang w:val="ro-RO"/>
              </w:rPr>
              <w:t>2005, mun.Chişinău, str.Co</w:t>
            </w:r>
            <w:r>
              <w:rPr>
                <w:sz w:val="22"/>
                <w:lang w:val="ro-RO"/>
              </w:rPr>
              <w:t>nstantin Tănase,</w:t>
            </w:r>
            <w:r w:rsidRPr="00EC0324">
              <w:rPr>
                <w:sz w:val="22"/>
                <w:lang w:val="ro-RO"/>
              </w:rPr>
              <w:t xml:space="preserve"> 7</w:t>
            </w:r>
          </w:p>
          <w:p w:rsidR="00E00DA0" w:rsidRDefault="00075645" w:rsidP="00E00DA0">
            <w:pPr>
              <w:spacing w:line="276" w:lineRule="auto"/>
              <w:jc w:val="center"/>
              <w:rPr>
                <w:sz w:val="22"/>
                <w:lang w:val="ro-RO"/>
              </w:rPr>
            </w:pPr>
            <w:hyperlink r:id="rId9" w:history="1">
              <w:r w:rsidR="00E00DA0" w:rsidRPr="00C315E5">
                <w:rPr>
                  <w:rStyle w:val="Hyperlink"/>
                  <w:sz w:val="22"/>
                  <w:lang w:val="ro-RO"/>
                </w:rPr>
                <w:t>www.mf.gov.md</w:t>
              </w:r>
            </w:hyperlink>
            <w:r w:rsidR="00E00DA0">
              <w:rPr>
                <w:sz w:val="22"/>
                <w:lang w:val="ro-RO"/>
              </w:rPr>
              <w:t xml:space="preserve">, </w:t>
            </w:r>
            <w:r w:rsidR="00E00DA0" w:rsidRPr="00EC0324">
              <w:rPr>
                <w:sz w:val="22"/>
                <w:lang w:val="ro-RO"/>
              </w:rPr>
              <w:t>tel.</w:t>
            </w:r>
            <w:r w:rsidR="00E00DA0">
              <w:rPr>
                <w:sz w:val="22"/>
                <w:lang w:val="ro-RO"/>
              </w:rPr>
              <w:t>(022)</w:t>
            </w:r>
            <w:r w:rsidR="00E00DA0" w:rsidRPr="00EC0324">
              <w:rPr>
                <w:sz w:val="22"/>
                <w:lang w:val="ro-RO"/>
              </w:rPr>
              <w:t xml:space="preserve"> </w:t>
            </w:r>
            <w:r w:rsidR="00E00DA0">
              <w:rPr>
                <w:sz w:val="22"/>
                <w:lang w:val="ro-RO"/>
              </w:rPr>
              <w:t>26-26-00, fax 022-26-25-17</w:t>
            </w:r>
          </w:p>
          <w:p w:rsidR="00F119D1" w:rsidRPr="00EC0324" w:rsidRDefault="00F119D1" w:rsidP="004306EA">
            <w:pPr>
              <w:spacing w:line="276" w:lineRule="auto"/>
              <w:jc w:val="center"/>
              <w:rPr>
                <w:sz w:val="22"/>
                <w:lang w:val="ro-RO"/>
              </w:rPr>
            </w:pPr>
          </w:p>
        </w:tc>
      </w:tr>
      <w:tr w:rsidR="00EC0324" w:rsidRPr="00EC0324">
        <w:trPr>
          <w:trHeight w:val="331"/>
        </w:trPr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EC0324" w:rsidRPr="00EC0324" w:rsidRDefault="00EC0324" w:rsidP="004306EA">
            <w:pPr>
              <w:spacing w:line="276" w:lineRule="auto"/>
              <w:ind w:left="72"/>
              <w:rPr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540" w:type="dxa"/>
            <w:vAlign w:val="bottom"/>
          </w:tcPr>
          <w:p w:rsidR="00EC0324" w:rsidRPr="00EC0324" w:rsidRDefault="00EC0324" w:rsidP="004306EA">
            <w:pPr>
              <w:spacing w:line="276" w:lineRule="auto"/>
              <w:ind w:right="-116"/>
              <w:rPr>
                <w:lang w:val="ro-RO"/>
              </w:rPr>
            </w:pPr>
            <w:r w:rsidRPr="00EC0324">
              <w:rPr>
                <w:lang w:val="ro-RO"/>
              </w:rPr>
              <w:t>nr.</w:t>
            </w:r>
          </w:p>
        </w:tc>
        <w:tc>
          <w:tcPr>
            <w:tcW w:w="2507" w:type="dxa"/>
            <w:gridSpan w:val="2"/>
            <w:tcBorders>
              <w:bottom w:val="single" w:sz="4" w:space="0" w:color="auto"/>
            </w:tcBorders>
          </w:tcPr>
          <w:p w:rsidR="00EC0324" w:rsidRPr="00EC0324" w:rsidRDefault="00EC0324" w:rsidP="004306EA">
            <w:pPr>
              <w:spacing w:line="276" w:lineRule="auto"/>
              <w:ind w:left="72"/>
              <w:rPr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4693" w:type="dxa"/>
            <w:gridSpan w:val="2"/>
            <w:vMerge w:val="restart"/>
          </w:tcPr>
          <w:p w:rsidR="00EC0324" w:rsidRPr="00EC0324" w:rsidRDefault="00EC0324" w:rsidP="004306EA">
            <w:pPr>
              <w:spacing w:line="276" w:lineRule="auto"/>
              <w:rPr>
                <w:lang w:val="ro-RO"/>
              </w:rPr>
            </w:pPr>
          </w:p>
        </w:tc>
      </w:tr>
      <w:tr w:rsidR="00EC0324" w:rsidRPr="00EC0324">
        <w:trPr>
          <w:trHeight w:val="368"/>
        </w:trPr>
        <w:tc>
          <w:tcPr>
            <w:tcW w:w="720" w:type="dxa"/>
            <w:vAlign w:val="bottom"/>
          </w:tcPr>
          <w:p w:rsidR="00EC0324" w:rsidRPr="00EC0324" w:rsidRDefault="00EC0324" w:rsidP="004306EA">
            <w:pPr>
              <w:spacing w:line="276" w:lineRule="auto"/>
              <w:ind w:left="-108" w:right="-108"/>
              <w:jc w:val="center"/>
              <w:rPr>
                <w:lang w:val="ro-RO"/>
              </w:rPr>
            </w:pPr>
            <w:r w:rsidRPr="00EC0324">
              <w:rPr>
                <w:lang w:val="ro-RO"/>
              </w:rPr>
              <w:t>La nr.</w:t>
            </w:r>
          </w:p>
        </w:tc>
        <w:tc>
          <w:tcPr>
            <w:tcW w:w="4487" w:type="dxa"/>
            <w:gridSpan w:val="4"/>
            <w:tcBorders>
              <w:bottom w:val="single" w:sz="4" w:space="0" w:color="auto"/>
            </w:tcBorders>
            <w:vAlign w:val="bottom"/>
          </w:tcPr>
          <w:p w:rsidR="00EC0324" w:rsidRPr="00EC0324" w:rsidRDefault="00EC0324" w:rsidP="004306EA">
            <w:pPr>
              <w:spacing w:line="276" w:lineRule="auto"/>
              <w:rPr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4693" w:type="dxa"/>
            <w:gridSpan w:val="2"/>
            <w:vMerge/>
          </w:tcPr>
          <w:p w:rsidR="00EC0324" w:rsidRPr="00EC0324" w:rsidRDefault="00EC0324" w:rsidP="004306EA">
            <w:pPr>
              <w:spacing w:line="276" w:lineRule="auto"/>
              <w:rPr>
                <w:lang w:val="ro-RO"/>
              </w:rPr>
            </w:pPr>
          </w:p>
        </w:tc>
      </w:tr>
    </w:tbl>
    <w:p w:rsidR="00E37F9D" w:rsidRDefault="00E37F9D" w:rsidP="00881B1B">
      <w:pPr>
        <w:spacing w:line="276" w:lineRule="auto"/>
        <w:jc w:val="right"/>
        <w:rPr>
          <w:b/>
          <w:sz w:val="28"/>
          <w:szCs w:val="28"/>
          <w:lang w:val="ro-MO"/>
        </w:rPr>
      </w:pPr>
    </w:p>
    <w:p w:rsidR="00134790" w:rsidRPr="001418C3" w:rsidRDefault="00881B1B" w:rsidP="00881B1B">
      <w:pPr>
        <w:spacing w:line="276" w:lineRule="auto"/>
        <w:jc w:val="right"/>
        <w:rPr>
          <w:b/>
          <w:lang w:val="ro-MO"/>
        </w:rPr>
      </w:pPr>
      <w:r w:rsidRPr="001418C3">
        <w:rPr>
          <w:b/>
          <w:lang w:val="ro-MO"/>
        </w:rPr>
        <w:t>Ministerul Tineretului și Sportului</w:t>
      </w:r>
    </w:p>
    <w:p w:rsidR="007F0EFF" w:rsidRPr="001418C3" w:rsidRDefault="007F0EFF" w:rsidP="00881B1B">
      <w:pPr>
        <w:spacing w:line="276" w:lineRule="auto"/>
        <w:jc w:val="right"/>
        <w:rPr>
          <w:b/>
          <w:lang w:val="ro-MO"/>
        </w:rPr>
      </w:pPr>
    </w:p>
    <w:p w:rsidR="007F0EFF" w:rsidRPr="001418C3" w:rsidRDefault="00185105" w:rsidP="008972CD">
      <w:pPr>
        <w:spacing w:line="360" w:lineRule="auto"/>
        <w:ind w:firstLine="567"/>
        <w:jc w:val="both"/>
        <w:rPr>
          <w:lang w:val="ro-RO"/>
        </w:rPr>
      </w:pPr>
      <w:r w:rsidRPr="001418C3">
        <w:rPr>
          <w:lang w:val="ro-RO"/>
        </w:rPr>
        <w:t>Prin prezenta, î</w:t>
      </w:r>
      <w:r w:rsidR="007F0EFF" w:rsidRPr="001418C3">
        <w:rPr>
          <w:lang w:val="ro-RO"/>
        </w:rPr>
        <w:t>n temeiul pct. 2 al Hotărîrii Guvernului nr</w:t>
      </w:r>
      <w:r w:rsidR="006A3313" w:rsidRPr="001418C3">
        <w:rPr>
          <w:lang w:val="ro-RO"/>
        </w:rPr>
        <w:t>.</w:t>
      </w:r>
      <w:r w:rsidR="007F0EFF" w:rsidRPr="001418C3">
        <w:rPr>
          <w:lang w:val="ro-RO"/>
        </w:rPr>
        <w:t xml:space="preserve"> 1006 din 10 decembrie 2014 </w:t>
      </w:r>
      <w:r w:rsidR="00BB2AE8" w:rsidRPr="001418C3">
        <w:rPr>
          <w:lang w:val="ro-RO"/>
        </w:rPr>
        <w:t xml:space="preserve">Ministerul Finanțelor </w:t>
      </w:r>
      <w:r w:rsidR="00BB2AE8">
        <w:rPr>
          <w:lang w:val="ro-RO"/>
        </w:rPr>
        <w:t>prezintă informația despre realizarea</w:t>
      </w:r>
      <w:r w:rsidR="007F0EFF" w:rsidRPr="001418C3">
        <w:rPr>
          <w:lang w:val="ro-MO"/>
        </w:rPr>
        <w:t xml:space="preserve"> Strategiei naţionale de dezvoltare a sectorului de tineret 2020 şi a Planului de acţiuni privind implement</w:t>
      </w:r>
      <w:r w:rsidR="00BB2AE8">
        <w:rPr>
          <w:lang w:val="ro-MO"/>
        </w:rPr>
        <w:t>area acesteia</w:t>
      </w:r>
      <w:r w:rsidR="007F0EFF" w:rsidRPr="001418C3">
        <w:rPr>
          <w:lang w:val="ro-RO"/>
        </w:rPr>
        <w:t>.</w:t>
      </w:r>
    </w:p>
    <w:p w:rsidR="00F460C7" w:rsidRPr="001418C3" w:rsidRDefault="00D866F4" w:rsidP="0074659A">
      <w:pPr>
        <w:spacing w:before="120"/>
        <w:ind w:firstLine="567"/>
        <w:jc w:val="both"/>
        <w:rPr>
          <w:lang w:val="ro-RO"/>
        </w:rPr>
      </w:pPr>
      <w:r>
        <w:rPr>
          <w:lang w:val="ro-RO"/>
        </w:rPr>
        <w:t xml:space="preserve"> </w:t>
      </w:r>
      <w:r w:rsidR="00DE7E9C" w:rsidRPr="001418C3">
        <w:rPr>
          <w:lang w:val="ro-RO"/>
        </w:rPr>
        <w:t>Datele despre realizarea cheltuielilor pe sectorul de tineret se prezintă în tabe</w:t>
      </w:r>
      <w:r w:rsidR="00F460C7">
        <w:rPr>
          <w:lang w:val="ro-RO"/>
        </w:rPr>
        <w:t>lul</w:t>
      </w:r>
      <w:r w:rsidR="00DE7E9C" w:rsidRPr="001418C3">
        <w:rPr>
          <w:lang w:val="ro-RO"/>
        </w:rPr>
        <w:t xml:space="preserve"> următor</w:t>
      </w:r>
      <w:r w:rsidR="007231A9">
        <w:rPr>
          <w:lang w:val="ro-RO"/>
        </w:rPr>
        <w:t xml:space="preserve">  (tab. nr. 1)</w:t>
      </w:r>
      <w:r w:rsidR="00DE7E9C" w:rsidRPr="001418C3">
        <w:rPr>
          <w:lang w:val="ro-RO"/>
        </w:rPr>
        <w:t>.</w:t>
      </w:r>
    </w:p>
    <w:p w:rsidR="00DE7E9C" w:rsidRPr="00DE7E9C" w:rsidRDefault="00DE7E9C" w:rsidP="00DE7E9C">
      <w:pPr>
        <w:spacing w:line="360" w:lineRule="auto"/>
        <w:ind w:firstLine="567"/>
        <w:jc w:val="right"/>
        <w:rPr>
          <w:b/>
          <w:i/>
          <w:sz w:val="20"/>
          <w:szCs w:val="20"/>
          <w:lang w:val="ro-RO"/>
        </w:rPr>
      </w:pPr>
      <w:r w:rsidRPr="00DE7E9C">
        <w:rPr>
          <w:b/>
          <w:i/>
          <w:sz w:val="20"/>
          <w:szCs w:val="20"/>
          <w:lang w:val="ro-RO"/>
        </w:rPr>
        <w:t>Tabelul nr.1</w:t>
      </w:r>
    </w:p>
    <w:tbl>
      <w:tblPr>
        <w:tblW w:w="96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14"/>
        <w:gridCol w:w="751"/>
        <w:gridCol w:w="778"/>
        <w:gridCol w:w="710"/>
        <w:gridCol w:w="714"/>
        <w:gridCol w:w="850"/>
        <w:gridCol w:w="709"/>
        <w:gridCol w:w="567"/>
        <w:gridCol w:w="851"/>
        <w:gridCol w:w="708"/>
      </w:tblGrid>
      <w:tr w:rsidR="00DE7E9C" w:rsidRPr="00B3153B" w:rsidTr="00B50E33">
        <w:trPr>
          <w:trHeight w:val="326"/>
        </w:trPr>
        <w:tc>
          <w:tcPr>
            <w:tcW w:w="9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E7E9C" w:rsidRPr="00B3153B" w:rsidRDefault="00DE7E9C" w:rsidP="00DE7E9C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>Mii lei</w:t>
            </w:r>
          </w:p>
        </w:tc>
      </w:tr>
      <w:tr w:rsidR="00B3153B" w:rsidRPr="00B3153B" w:rsidTr="00B3153B">
        <w:trPr>
          <w:trHeight w:val="456"/>
        </w:trPr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Tineret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2015 executat față de 2014 executat</w:t>
            </w:r>
          </w:p>
        </w:tc>
      </w:tr>
      <w:tr w:rsidR="00B3153B" w:rsidRPr="00B3153B" w:rsidTr="001418C3">
        <w:trPr>
          <w:trHeight w:val="628"/>
        </w:trPr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53B" w:rsidRPr="00B3153B" w:rsidRDefault="00B315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aprobat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executat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aprobat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precizat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executat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1418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executat față de precizat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53B" w:rsidRPr="00B3153B" w:rsidRDefault="00B315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3153B" w:rsidRPr="00B3153B" w:rsidTr="001418C3">
        <w:trPr>
          <w:trHeight w:val="406"/>
        </w:trPr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53B" w:rsidRPr="00B3153B" w:rsidRDefault="00B315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53B" w:rsidRPr="00B3153B" w:rsidRDefault="00B315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53B" w:rsidRPr="00B3153B" w:rsidRDefault="00B315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3B" w:rsidRPr="00B3153B" w:rsidRDefault="00B315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3B" w:rsidRPr="00B3153B" w:rsidRDefault="00B315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53B" w:rsidRPr="00B3153B" w:rsidRDefault="00B3153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3153B" w:rsidRPr="00B3153B" w:rsidRDefault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B3153B" w:rsidRPr="00B3153B" w:rsidTr="001418C3">
        <w:trPr>
          <w:trHeight w:val="408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1418C3" w:rsidRDefault="00B3153B" w:rsidP="001418C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  <w:lang w:val="en-US"/>
              </w:rPr>
              <w:t>Total pe sector</w:t>
            </w:r>
            <w:r w:rsidR="001418C3">
              <w:rPr>
                <w:b/>
                <w:bCs/>
                <w:color w:val="000000"/>
                <w:sz w:val="18"/>
                <w:szCs w:val="18"/>
                <w:lang w:val="en-US"/>
              </w:rPr>
              <w:t>ul de tineret</w:t>
            </w:r>
            <w:r w:rsidR="00F233B4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(BPN)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29 599,7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27 046,4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41 586,3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30 124,4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20 731,0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-9 393,4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68,82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-6 315,4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76,65</w:t>
            </w:r>
          </w:p>
        </w:tc>
      </w:tr>
      <w:tr w:rsidR="00B3153B" w:rsidRPr="00B3153B" w:rsidTr="001418C3">
        <w:trPr>
          <w:trHeight w:val="412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1418C3" w:rsidP="001418C3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i/>
                <w:iCs/>
                <w:color w:val="000000"/>
                <w:sz w:val="18"/>
                <w:szCs w:val="18"/>
              </w:rPr>
              <w:t>I</w:t>
            </w:r>
            <w:r w:rsidR="00B3153B" w:rsidRPr="00B3153B">
              <w:rPr>
                <w:i/>
                <w:iCs/>
                <w:color w:val="000000"/>
                <w:sz w:val="18"/>
                <w:szCs w:val="18"/>
              </w:rPr>
              <w:t>nclusiv: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153B" w:rsidRPr="00B3153B" w:rsidTr="001418C3">
        <w:trPr>
          <w:trHeight w:val="416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1418C3" w:rsidP="001418C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 w:rsidR="00B3153B" w:rsidRPr="00B3153B">
              <w:rPr>
                <w:b/>
                <w:bCs/>
                <w:color w:val="000000"/>
                <w:sz w:val="18"/>
                <w:szCs w:val="18"/>
              </w:rPr>
              <w:t>Bugetul de stat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7 040,4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4 916,1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22 069,4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12 069,4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5 053,7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-7 015,7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41,87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137,6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102,80</w:t>
            </w:r>
          </w:p>
        </w:tc>
      </w:tr>
      <w:tr w:rsidR="00B3153B" w:rsidRPr="00B3153B" w:rsidTr="001418C3">
        <w:trPr>
          <w:trHeight w:val="576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1418C3" w:rsidP="001418C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 w:rsidR="00B3153B" w:rsidRPr="00B3153B">
              <w:rPr>
                <w:b/>
                <w:bCs/>
                <w:color w:val="000000"/>
                <w:sz w:val="18"/>
                <w:szCs w:val="18"/>
              </w:rPr>
              <w:t>Bugetele unităţilor administrativ - teritoriale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22 559,3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22 130,3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19 516,9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18 055,0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15 677,3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-2 377,7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86,83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-6 453,0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153B">
              <w:rPr>
                <w:b/>
                <w:color w:val="000000"/>
                <w:sz w:val="18"/>
                <w:szCs w:val="18"/>
              </w:rPr>
              <w:t>70,84</w:t>
            </w:r>
          </w:p>
        </w:tc>
      </w:tr>
      <w:tr w:rsidR="00B3153B" w:rsidRPr="00B3153B" w:rsidTr="001418C3">
        <w:trPr>
          <w:trHeight w:val="261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1418C3" w:rsidP="001418C3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en-US"/>
              </w:rPr>
              <w:t xml:space="preserve">      </w:t>
            </w:r>
            <w:r w:rsidR="00B3153B" w:rsidRPr="00B3153B">
              <w:rPr>
                <w:i/>
                <w:iCs/>
                <w:color w:val="000000"/>
                <w:sz w:val="18"/>
                <w:szCs w:val="18"/>
              </w:rPr>
              <w:t>inclusiv: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iCs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153B" w:rsidRPr="00B3153B" w:rsidTr="001418C3">
        <w:trPr>
          <w:trHeight w:val="444"/>
        </w:trPr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1418C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3153B">
              <w:rPr>
                <w:i/>
                <w:iCs/>
                <w:color w:val="000000"/>
                <w:sz w:val="18"/>
                <w:szCs w:val="18"/>
              </w:rPr>
              <w:t>Activități de tineret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3153B">
              <w:rPr>
                <w:iCs/>
                <w:color w:val="000000"/>
                <w:sz w:val="18"/>
                <w:szCs w:val="18"/>
              </w:rPr>
              <w:t>6 363,0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7 233,0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8 147,6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8 403,0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7 293,7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-1 109,3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86,80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100,84</w:t>
            </w:r>
          </w:p>
        </w:tc>
      </w:tr>
      <w:tr w:rsidR="00B3153B" w:rsidRPr="00B3153B" w:rsidTr="001418C3">
        <w:trPr>
          <w:trHeight w:val="438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1418C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3153B">
              <w:rPr>
                <w:i/>
                <w:iCs/>
                <w:color w:val="000000"/>
                <w:sz w:val="18"/>
                <w:szCs w:val="18"/>
              </w:rPr>
              <w:t>Centre de tineret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3153B">
              <w:rPr>
                <w:iCs/>
                <w:color w:val="000000"/>
                <w:sz w:val="18"/>
                <w:szCs w:val="18"/>
              </w:rPr>
              <w:t>16 196,3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14 897,3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11 369,3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9 652,0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8 383,6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-1 268,4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86,86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-6 513,7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</w:rPr>
              <w:t>56,28</w:t>
            </w:r>
          </w:p>
        </w:tc>
      </w:tr>
      <w:tr w:rsidR="00B3153B" w:rsidRPr="00B3153B" w:rsidTr="00B3153B">
        <w:trPr>
          <w:trHeight w:val="673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  <w:lang w:val="en-US"/>
              </w:rPr>
              <w:t>Ponderea în suma totală a cheltuielilor bugetului public national,  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  <w:lang w:val="en-US"/>
              </w:rPr>
              <w:t>0,06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  <w:lang w:val="en-US"/>
              </w:rPr>
              <w:t>0,09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  <w:lang w:val="en-US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  <w:lang w:val="en-US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3153B" w:rsidRPr="00B3153B" w:rsidTr="001418C3">
        <w:trPr>
          <w:trHeight w:val="617"/>
        </w:trPr>
        <w:tc>
          <w:tcPr>
            <w:tcW w:w="3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1418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  <w:lang w:val="en-US"/>
              </w:rPr>
              <w:t>Ponderea în PIB,  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153B">
              <w:rPr>
                <w:b/>
                <w:bCs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3153B" w:rsidRPr="00B3153B" w:rsidRDefault="00B3153B" w:rsidP="00B3153B">
            <w:pPr>
              <w:jc w:val="center"/>
              <w:rPr>
                <w:color w:val="000000"/>
                <w:sz w:val="18"/>
                <w:szCs w:val="18"/>
              </w:rPr>
            </w:pPr>
            <w:r w:rsidRPr="00B3153B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1418C3" w:rsidRDefault="001418C3" w:rsidP="00DE7E9C">
      <w:pPr>
        <w:spacing w:line="360" w:lineRule="auto"/>
        <w:ind w:firstLine="567"/>
        <w:jc w:val="both"/>
        <w:rPr>
          <w:lang w:val="ro-RO"/>
        </w:rPr>
      </w:pPr>
    </w:p>
    <w:p w:rsidR="00DE7E9C" w:rsidRPr="00D866F4" w:rsidRDefault="00B3153B" w:rsidP="00D866F4">
      <w:pPr>
        <w:spacing w:line="360" w:lineRule="auto"/>
        <w:ind w:firstLine="567"/>
        <w:jc w:val="both"/>
        <w:rPr>
          <w:lang w:val="ro-RO"/>
        </w:rPr>
      </w:pPr>
      <w:r w:rsidRPr="001418C3">
        <w:rPr>
          <w:lang w:val="ro-RO"/>
        </w:rPr>
        <w:t xml:space="preserve"> </w:t>
      </w:r>
      <w:r w:rsidR="00DE7E9C" w:rsidRPr="00D866F4">
        <w:rPr>
          <w:color w:val="000000" w:themeColor="text1"/>
          <w:lang w:val="ro-RO"/>
        </w:rPr>
        <w:t>Alocațiile</w:t>
      </w:r>
      <w:r w:rsidR="00DE7E9C" w:rsidRPr="00D866F4">
        <w:rPr>
          <w:lang w:val="ro-RO"/>
        </w:rPr>
        <w:t xml:space="preserve"> aprobate în Bugetul Public Național pentru anul 2015 pe domeniul de tineret  au constituit 41,</w:t>
      </w:r>
      <w:r w:rsidR="004D7F3E">
        <w:rPr>
          <w:lang w:val="ro-RO"/>
        </w:rPr>
        <w:t>6</w:t>
      </w:r>
      <w:r w:rsidR="00DE7E9C" w:rsidRPr="00D866F4">
        <w:rPr>
          <w:lang w:val="ro-RO"/>
        </w:rPr>
        <w:t xml:space="preserve"> mil. lei ceea ce reprezintă 0,04% din PIB sau cu </w:t>
      </w:r>
      <w:r w:rsidR="004D7F3E">
        <w:rPr>
          <w:lang w:val="ro-RO"/>
        </w:rPr>
        <w:t>12,0</w:t>
      </w:r>
      <w:r w:rsidR="00DE7E9C" w:rsidRPr="00D866F4">
        <w:rPr>
          <w:lang w:val="ro-RO"/>
        </w:rPr>
        <w:t xml:space="preserve"> mil. lei în creștere comparativ cu anul precedent.</w:t>
      </w:r>
    </w:p>
    <w:p w:rsidR="00DE7E9C" w:rsidRPr="00D866F4" w:rsidRDefault="00DE7E9C" w:rsidP="00D866F4">
      <w:pPr>
        <w:spacing w:line="360" w:lineRule="auto"/>
        <w:ind w:firstLine="567"/>
        <w:jc w:val="both"/>
        <w:rPr>
          <w:lang w:val="ro-RO"/>
        </w:rPr>
      </w:pPr>
    </w:p>
    <w:p w:rsidR="00DE7E9C" w:rsidRPr="00D866F4" w:rsidRDefault="005860D9" w:rsidP="00D866F4">
      <w:pPr>
        <w:spacing w:line="360" w:lineRule="auto"/>
        <w:ind w:firstLine="567"/>
        <w:jc w:val="both"/>
        <w:rPr>
          <w:lang w:val="ro-RO"/>
        </w:rPr>
      </w:pPr>
      <w:r w:rsidRPr="00D866F4">
        <w:rPr>
          <w:lang w:val="ro-RO"/>
        </w:rPr>
        <w:lastRenderedPageBreak/>
        <w:t xml:space="preserve">Structura Bugetului Public Național pentru anul 2015 pe  </w:t>
      </w:r>
      <w:r w:rsidR="008972CD" w:rsidRPr="00D866F4">
        <w:rPr>
          <w:lang w:val="ro-RO"/>
        </w:rPr>
        <w:t>compartimentul</w:t>
      </w:r>
      <w:r w:rsidRPr="00D866F4">
        <w:rPr>
          <w:lang w:val="ro-RO"/>
        </w:rPr>
        <w:t xml:space="preserve"> de tineret se prezintă </w:t>
      </w:r>
      <w:r w:rsidR="00DE7E9C" w:rsidRPr="00D866F4">
        <w:rPr>
          <w:lang w:val="ro-RO"/>
        </w:rPr>
        <w:t>în fig. nr.1</w:t>
      </w:r>
      <w:r w:rsidRPr="00D866F4">
        <w:rPr>
          <w:lang w:val="ro-RO"/>
        </w:rPr>
        <w:t>.</w:t>
      </w:r>
    </w:p>
    <w:p w:rsidR="00DE7E9C" w:rsidRPr="00DE7E9C" w:rsidRDefault="00DE7E9C" w:rsidP="00DE7E9C">
      <w:pPr>
        <w:spacing w:line="360" w:lineRule="auto"/>
        <w:ind w:firstLine="567"/>
        <w:jc w:val="center"/>
        <w:rPr>
          <w:b/>
          <w:i/>
          <w:sz w:val="20"/>
          <w:szCs w:val="20"/>
          <w:lang w:val="ro-RO"/>
        </w:rPr>
      </w:pPr>
      <w:r>
        <w:rPr>
          <w:b/>
          <w:i/>
          <w:sz w:val="20"/>
          <w:szCs w:val="20"/>
          <w:lang w:val="ro-RO"/>
        </w:rPr>
        <w:t xml:space="preserve">                                                                                                               </w:t>
      </w:r>
      <w:r w:rsidRPr="00DE7E9C">
        <w:rPr>
          <w:b/>
          <w:i/>
          <w:sz w:val="20"/>
          <w:szCs w:val="20"/>
          <w:lang w:val="ro-RO"/>
        </w:rPr>
        <w:t>Fig. nr.1</w:t>
      </w:r>
    </w:p>
    <w:p w:rsidR="005860D9" w:rsidRDefault="00B97596" w:rsidP="009125CC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inline distT="0" distB="0" distL="0" distR="0">
            <wp:extent cx="5052484" cy="2599266"/>
            <wp:effectExtent l="19050" t="0" r="14816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860D9" w:rsidRDefault="005860D9" w:rsidP="00DE7E9C">
      <w:pPr>
        <w:spacing w:line="276" w:lineRule="auto"/>
        <w:jc w:val="both"/>
        <w:rPr>
          <w:sz w:val="28"/>
          <w:szCs w:val="28"/>
          <w:lang w:val="en-US"/>
        </w:rPr>
      </w:pPr>
    </w:p>
    <w:p w:rsidR="00F2626E" w:rsidRPr="00F2626E" w:rsidRDefault="00F2626E" w:rsidP="00F2626E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r w:rsidRPr="00F2626E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Bugetele </w:t>
      </w:r>
      <w:r w:rsidRPr="00F2626E">
        <w:rPr>
          <w:rFonts w:ascii="Times New Roman" w:hAnsi="Times New Roman"/>
          <w:b/>
          <w:i/>
          <w:sz w:val="24"/>
          <w:szCs w:val="24"/>
          <w:lang w:val="ro-RO"/>
        </w:rPr>
        <w:t>unităților administrativ-teritoriale</w:t>
      </w:r>
    </w:p>
    <w:p w:rsidR="00D54443" w:rsidRPr="00F460C7" w:rsidRDefault="00852810" w:rsidP="00F233B4">
      <w:pPr>
        <w:spacing w:line="360" w:lineRule="auto"/>
        <w:ind w:firstLine="567"/>
        <w:jc w:val="both"/>
        <w:rPr>
          <w:color w:val="000000" w:themeColor="text1"/>
          <w:lang w:val="ro-RO"/>
        </w:rPr>
      </w:pPr>
      <w:r w:rsidRPr="00F460C7">
        <w:rPr>
          <w:color w:val="000000" w:themeColor="text1"/>
          <w:lang w:val="ro-RO"/>
        </w:rPr>
        <w:t xml:space="preserve">Alocațiile </w:t>
      </w:r>
      <w:r w:rsidR="00D54443" w:rsidRPr="00F460C7">
        <w:rPr>
          <w:color w:val="000000" w:themeColor="text1"/>
          <w:lang w:val="ro-RO"/>
        </w:rPr>
        <w:t>aprobate în</w:t>
      </w:r>
      <w:r w:rsidR="008F79A5" w:rsidRPr="00F460C7">
        <w:rPr>
          <w:color w:val="000000" w:themeColor="text1"/>
          <w:lang w:val="ro-RO"/>
        </w:rPr>
        <w:t xml:space="preserve"> </w:t>
      </w:r>
      <w:r w:rsidR="009C63D5" w:rsidRPr="00F460C7">
        <w:rPr>
          <w:color w:val="000000" w:themeColor="text1"/>
          <w:lang w:val="ro-RO"/>
        </w:rPr>
        <w:t>bugetele</w:t>
      </w:r>
      <w:r w:rsidR="00D54443" w:rsidRPr="00F460C7">
        <w:rPr>
          <w:color w:val="000000" w:themeColor="text1"/>
          <w:lang w:val="ro-RO"/>
        </w:rPr>
        <w:t xml:space="preserve"> </w:t>
      </w:r>
      <w:r w:rsidR="008F79A5" w:rsidRPr="00F460C7">
        <w:rPr>
          <w:lang w:val="ro-RO"/>
        </w:rPr>
        <w:t xml:space="preserve">unităților administrativ-teritoriale </w:t>
      </w:r>
      <w:r w:rsidRPr="00F460C7">
        <w:rPr>
          <w:color w:val="000000" w:themeColor="text1"/>
          <w:lang w:val="ro-RO"/>
        </w:rPr>
        <w:t>pentru anul 2015 pentru întreţinerea centrelor de tineret, precum şi în scopul desfăşurării activităților pentru tineret, au constituit –</w:t>
      </w:r>
      <w:r w:rsidRPr="00F460C7">
        <w:rPr>
          <w:b/>
          <w:color w:val="000000" w:themeColor="text1"/>
          <w:lang w:val="ro-RO"/>
        </w:rPr>
        <w:t>19</w:t>
      </w:r>
      <w:r w:rsidR="008972CD" w:rsidRPr="00F460C7">
        <w:rPr>
          <w:b/>
          <w:color w:val="000000" w:themeColor="text1"/>
          <w:lang w:val="ro-RO"/>
        </w:rPr>
        <w:t>,</w:t>
      </w:r>
      <w:r w:rsidR="009C63D5" w:rsidRPr="00F460C7">
        <w:rPr>
          <w:b/>
          <w:color w:val="000000" w:themeColor="text1"/>
          <w:lang w:val="ro-RO"/>
        </w:rPr>
        <w:t>5</w:t>
      </w:r>
      <w:r w:rsidRPr="00F460C7">
        <w:rPr>
          <w:color w:val="000000" w:themeColor="text1"/>
          <w:lang w:val="ro-RO"/>
        </w:rPr>
        <w:t xml:space="preserve"> </w:t>
      </w:r>
      <w:r w:rsidRPr="00F460C7">
        <w:rPr>
          <w:b/>
          <w:color w:val="000000" w:themeColor="text1"/>
          <w:lang w:val="ro-RO"/>
        </w:rPr>
        <w:t>mi</w:t>
      </w:r>
      <w:r w:rsidR="008972CD" w:rsidRPr="00F460C7">
        <w:rPr>
          <w:b/>
          <w:color w:val="000000" w:themeColor="text1"/>
          <w:lang w:val="ro-RO"/>
        </w:rPr>
        <w:t>l.</w:t>
      </w:r>
      <w:r w:rsidRPr="00F460C7">
        <w:rPr>
          <w:b/>
          <w:color w:val="000000" w:themeColor="text1"/>
          <w:lang w:val="ro-RO"/>
        </w:rPr>
        <w:t xml:space="preserve"> lei</w:t>
      </w:r>
      <w:r w:rsidRPr="00F460C7">
        <w:rPr>
          <w:color w:val="000000" w:themeColor="text1"/>
          <w:lang w:val="ro-RO"/>
        </w:rPr>
        <w:t xml:space="preserve">, nivelul executării fiind de </w:t>
      </w:r>
      <w:r w:rsidR="0059423A" w:rsidRPr="00F460C7">
        <w:rPr>
          <w:b/>
          <w:color w:val="000000" w:themeColor="text1"/>
          <w:lang w:val="ro-RO"/>
        </w:rPr>
        <w:t>80,</w:t>
      </w:r>
      <w:r w:rsidR="009C63D5" w:rsidRPr="00F460C7">
        <w:rPr>
          <w:b/>
          <w:color w:val="000000" w:themeColor="text1"/>
          <w:lang w:val="ro-RO"/>
        </w:rPr>
        <w:t>3</w:t>
      </w:r>
      <w:r w:rsidR="0059423A" w:rsidRPr="00F460C7">
        <w:rPr>
          <w:color w:val="000000" w:themeColor="text1"/>
          <w:lang w:val="ro-RO"/>
        </w:rPr>
        <w:t xml:space="preserve"> la sută</w:t>
      </w:r>
      <w:r w:rsidR="008972CD" w:rsidRPr="00F460C7">
        <w:rPr>
          <w:color w:val="000000" w:themeColor="text1"/>
          <w:lang w:val="ro-RO"/>
        </w:rPr>
        <w:t>.</w:t>
      </w:r>
    </w:p>
    <w:p w:rsidR="00306C39" w:rsidRDefault="00306C39" w:rsidP="00F233B4">
      <w:pPr>
        <w:spacing w:line="360" w:lineRule="auto"/>
        <w:ind w:firstLine="567"/>
        <w:jc w:val="both"/>
        <w:rPr>
          <w:lang w:val="ro-RO"/>
        </w:rPr>
      </w:pPr>
      <w:r w:rsidRPr="00F460C7">
        <w:rPr>
          <w:lang w:val="ro-RO"/>
        </w:rPr>
        <w:t>În bugetul unităților administrativ-teritoriale pe anul 2015 în scopul desfășurării măsurilor de tineret au fost aprobate alocații în volum de 8,1 mil. lei (cu 2</w:t>
      </w:r>
      <w:r w:rsidR="009C63D5" w:rsidRPr="00F460C7">
        <w:rPr>
          <w:lang w:val="ro-RO"/>
        </w:rPr>
        <w:t>8</w:t>
      </w:r>
      <w:r w:rsidRPr="00F460C7">
        <w:rPr>
          <w:lang w:val="ro-RO"/>
        </w:rPr>
        <w:t xml:space="preserve">% în creștere față de anul precedent), acestea fiind executate în mărime de </w:t>
      </w:r>
      <w:r w:rsidR="00A32374" w:rsidRPr="00F460C7">
        <w:rPr>
          <w:lang w:val="ro-RO"/>
        </w:rPr>
        <w:t>7,3</w:t>
      </w:r>
      <w:r w:rsidRPr="00F460C7">
        <w:rPr>
          <w:lang w:val="ro-RO"/>
        </w:rPr>
        <w:t xml:space="preserve"> mil lei sau </w:t>
      </w:r>
      <w:r w:rsidR="00A32374" w:rsidRPr="00F460C7">
        <w:rPr>
          <w:lang w:val="ro-RO"/>
        </w:rPr>
        <w:t>89,5</w:t>
      </w:r>
      <w:r w:rsidRPr="00F460C7">
        <w:rPr>
          <w:lang w:val="ro-RO"/>
        </w:rPr>
        <w:t>%</w:t>
      </w:r>
      <w:r w:rsidR="002A3E2A">
        <w:rPr>
          <w:lang w:val="ro-RO"/>
        </w:rPr>
        <w:t xml:space="preserve"> (fig. nr.2)</w:t>
      </w:r>
      <w:r w:rsidRPr="00F460C7">
        <w:rPr>
          <w:lang w:val="ro-RO"/>
        </w:rPr>
        <w:t>.</w:t>
      </w:r>
    </w:p>
    <w:p w:rsidR="00F460C7" w:rsidRPr="002A3E2A" w:rsidRDefault="002A3E2A" w:rsidP="002A3E2A">
      <w:pPr>
        <w:spacing w:line="360" w:lineRule="auto"/>
        <w:ind w:firstLine="567"/>
        <w:rPr>
          <w:b/>
          <w:i/>
          <w:sz w:val="20"/>
          <w:szCs w:val="20"/>
          <w:lang w:val="ro-RO"/>
        </w:rPr>
      </w:pPr>
      <w:r>
        <w:rPr>
          <w:b/>
          <w:i/>
          <w:sz w:val="20"/>
          <w:szCs w:val="20"/>
          <w:lang w:val="ro-RO"/>
        </w:rPr>
        <w:t xml:space="preserve">                                                               </w:t>
      </w:r>
      <w:r w:rsidRPr="002A3E2A">
        <w:rPr>
          <w:b/>
          <w:i/>
          <w:sz w:val="20"/>
          <w:szCs w:val="20"/>
          <w:lang w:val="ro-RO"/>
        </w:rPr>
        <w:t>Fig.</w:t>
      </w:r>
      <w:r>
        <w:rPr>
          <w:b/>
          <w:i/>
          <w:sz w:val="20"/>
          <w:szCs w:val="20"/>
          <w:lang w:val="ro-RO"/>
        </w:rPr>
        <w:t xml:space="preserve"> </w:t>
      </w:r>
      <w:r w:rsidRPr="002A3E2A">
        <w:rPr>
          <w:b/>
          <w:i/>
          <w:sz w:val="20"/>
          <w:szCs w:val="20"/>
          <w:lang w:val="ro-RO"/>
        </w:rPr>
        <w:t>nr 2</w:t>
      </w:r>
      <w:r>
        <w:rPr>
          <w:b/>
          <w:i/>
          <w:sz w:val="20"/>
          <w:szCs w:val="20"/>
          <w:lang w:val="ro-RO"/>
        </w:rPr>
        <w:t xml:space="preserve">                                                                                      </w:t>
      </w:r>
      <w:r w:rsidRPr="002A3E2A">
        <w:rPr>
          <w:b/>
          <w:i/>
          <w:sz w:val="20"/>
          <w:szCs w:val="20"/>
          <w:lang w:val="ro-RO"/>
        </w:rPr>
        <w:t>Fig.</w:t>
      </w:r>
      <w:r>
        <w:rPr>
          <w:b/>
          <w:i/>
          <w:sz w:val="20"/>
          <w:szCs w:val="20"/>
          <w:lang w:val="ro-RO"/>
        </w:rPr>
        <w:t xml:space="preserve"> </w:t>
      </w:r>
      <w:r w:rsidRPr="002A3E2A">
        <w:rPr>
          <w:b/>
          <w:i/>
          <w:sz w:val="20"/>
          <w:szCs w:val="20"/>
          <w:lang w:val="ro-RO"/>
        </w:rPr>
        <w:t xml:space="preserve">nr </w:t>
      </w:r>
      <w:r>
        <w:rPr>
          <w:b/>
          <w:i/>
          <w:sz w:val="20"/>
          <w:szCs w:val="20"/>
          <w:lang w:val="ro-RO"/>
        </w:rPr>
        <w:t>3</w:t>
      </w:r>
    </w:p>
    <w:p w:rsidR="00852810" w:rsidRDefault="00852810" w:rsidP="008972CD">
      <w:pPr>
        <w:spacing w:line="360" w:lineRule="auto"/>
        <w:jc w:val="both"/>
        <w:rPr>
          <w:color w:val="000000" w:themeColor="text1"/>
          <w:sz w:val="28"/>
          <w:szCs w:val="28"/>
          <w:lang w:val="ro-RO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842683" cy="2345266"/>
            <wp:effectExtent l="19050" t="0" r="14817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052BE" w:rsidRPr="007052B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094778" cy="2337011"/>
            <wp:effectExtent l="19050" t="0" r="10372" b="6139"/>
            <wp:docPr id="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60C7" w:rsidRPr="00852810" w:rsidRDefault="00F460C7" w:rsidP="008972CD">
      <w:pPr>
        <w:spacing w:line="36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914EEC" w:rsidRPr="00F460C7" w:rsidRDefault="00914EEC" w:rsidP="00914EEC">
      <w:pPr>
        <w:spacing w:line="360" w:lineRule="auto"/>
        <w:ind w:firstLine="567"/>
        <w:jc w:val="both"/>
        <w:rPr>
          <w:lang w:val="ro-RO"/>
        </w:rPr>
      </w:pPr>
      <w:r w:rsidRPr="00F460C7">
        <w:rPr>
          <w:lang w:val="ro-RO"/>
        </w:rPr>
        <w:t>Totodată, pentru centrele de tineret, în buget</w:t>
      </w:r>
      <w:r w:rsidR="00815087" w:rsidRPr="00F460C7">
        <w:rPr>
          <w:lang w:val="ro-RO"/>
        </w:rPr>
        <w:t xml:space="preserve">ele </w:t>
      </w:r>
      <w:r w:rsidRPr="00F460C7">
        <w:rPr>
          <w:lang w:val="ro-RO"/>
        </w:rPr>
        <w:t>unităților administrativ-teritoriale pe anul 2015 au fost aprobate alocații în volum de 11,</w:t>
      </w:r>
      <w:r w:rsidR="00B3153B" w:rsidRPr="00F460C7">
        <w:rPr>
          <w:lang w:val="ro-RO"/>
        </w:rPr>
        <w:t>4</w:t>
      </w:r>
      <w:r w:rsidRPr="00F460C7">
        <w:rPr>
          <w:lang w:val="ro-RO"/>
        </w:rPr>
        <w:t xml:space="preserve"> mil. lei (cu 29,</w:t>
      </w:r>
      <w:r w:rsidR="00815087" w:rsidRPr="00F460C7">
        <w:rPr>
          <w:lang w:val="ro-RO"/>
        </w:rPr>
        <w:t>8</w:t>
      </w:r>
      <w:r w:rsidRPr="00F460C7">
        <w:rPr>
          <w:lang w:val="ro-RO"/>
        </w:rPr>
        <w:t>% în descreștere față de anul precedent), acestea fiind executate în mărime de 8,</w:t>
      </w:r>
      <w:r w:rsidR="00C05564">
        <w:rPr>
          <w:lang w:val="ro-RO"/>
        </w:rPr>
        <w:t>4</w:t>
      </w:r>
      <w:r w:rsidRPr="00F460C7">
        <w:rPr>
          <w:lang w:val="ro-RO"/>
        </w:rPr>
        <w:t xml:space="preserve"> mil lei sau 7</w:t>
      </w:r>
      <w:r w:rsidR="00815087" w:rsidRPr="00F460C7">
        <w:rPr>
          <w:lang w:val="ro-RO"/>
        </w:rPr>
        <w:t>3</w:t>
      </w:r>
      <w:r w:rsidRPr="00F460C7">
        <w:rPr>
          <w:lang w:val="ro-RO"/>
        </w:rPr>
        <w:t>,</w:t>
      </w:r>
      <w:r w:rsidR="00815087" w:rsidRPr="00F460C7">
        <w:rPr>
          <w:lang w:val="ro-RO"/>
        </w:rPr>
        <w:t>7</w:t>
      </w:r>
      <w:r w:rsidRPr="00F460C7">
        <w:rPr>
          <w:lang w:val="ro-RO"/>
        </w:rPr>
        <w:t>%</w:t>
      </w:r>
      <w:r w:rsidR="002A3E2A">
        <w:rPr>
          <w:lang w:val="ro-RO"/>
        </w:rPr>
        <w:t xml:space="preserve"> (fig. nr.3)</w:t>
      </w:r>
      <w:r w:rsidRPr="00F460C7">
        <w:rPr>
          <w:lang w:val="ro-RO"/>
        </w:rPr>
        <w:t>.</w:t>
      </w:r>
    </w:p>
    <w:p w:rsidR="00852810" w:rsidRPr="00852810" w:rsidRDefault="00852810" w:rsidP="00852810">
      <w:pPr>
        <w:rPr>
          <w:sz w:val="28"/>
          <w:szCs w:val="28"/>
          <w:lang w:val="ro-RO"/>
        </w:rPr>
      </w:pPr>
    </w:p>
    <w:p w:rsidR="00852810" w:rsidRPr="008972CD" w:rsidRDefault="00852810" w:rsidP="008972CD">
      <w:pPr>
        <w:jc w:val="both"/>
        <w:rPr>
          <w:sz w:val="28"/>
          <w:szCs w:val="28"/>
          <w:lang w:val="ro-RO"/>
        </w:rPr>
      </w:pPr>
    </w:p>
    <w:p w:rsidR="008972CD" w:rsidRDefault="008972CD" w:rsidP="008972CD">
      <w:pPr>
        <w:spacing w:line="360" w:lineRule="auto"/>
        <w:ind w:firstLine="567"/>
        <w:jc w:val="both"/>
        <w:rPr>
          <w:sz w:val="28"/>
          <w:szCs w:val="28"/>
          <w:lang w:val="ro-RO"/>
        </w:rPr>
      </w:pPr>
    </w:p>
    <w:p w:rsidR="00BC29F9" w:rsidRDefault="00852810" w:rsidP="002449A6">
      <w:pPr>
        <w:spacing w:line="360" w:lineRule="auto"/>
        <w:ind w:firstLine="567"/>
        <w:jc w:val="both"/>
        <w:rPr>
          <w:color w:val="000000" w:themeColor="text1"/>
          <w:lang w:val="ro-RO"/>
        </w:rPr>
      </w:pPr>
      <w:r w:rsidRPr="00F460C7">
        <w:rPr>
          <w:color w:val="000000" w:themeColor="text1"/>
          <w:lang w:val="ro-RO"/>
        </w:rPr>
        <w:t>Din volumul alocațiilor aprobate pentru 2015</w:t>
      </w:r>
      <w:r w:rsidR="00914EEC" w:rsidRPr="00F460C7">
        <w:rPr>
          <w:color w:val="000000" w:themeColor="text1"/>
          <w:lang w:val="ro-RO"/>
        </w:rPr>
        <w:t xml:space="preserve"> pentru centrele de tineret</w:t>
      </w:r>
      <w:r w:rsidRPr="00F460C7">
        <w:rPr>
          <w:color w:val="000000" w:themeColor="text1"/>
          <w:lang w:val="ro-RO"/>
        </w:rPr>
        <w:t xml:space="preserve">, mijloacele pentru acoperirea cheltuielilor de personal au constituit </w:t>
      </w:r>
      <w:r w:rsidR="00644DB3" w:rsidRPr="00F460C7">
        <w:rPr>
          <w:lang w:val="en-US"/>
        </w:rPr>
        <w:t>5,9</w:t>
      </w:r>
      <w:r w:rsidRPr="00F460C7">
        <w:rPr>
          <w:lang w:val="en-US"/>
        </w:rPr>
        <w:t xml:space="preserve"> </w:t>
      </w:r>
      <w:r w:rsidRPr="00F460C7">
        <w:rPr>
          <w:color w:val="000000" w:themeColor="text1"/>
          <w:lang w:val="ro-RO"/>
        </w:rPr>
        <w:t>mi</w:t>
      </w:r>
      <w:r w:rsidR="00644DB3" w:rsidRPr="00F460C7">
        <w:rPr>
          <w:color w:val="000000" w:themeColor="text1"/>
          <w:lang w:val="ro-RO"/>
        </w:rPr>
        <w:t xml:space="preserve">l. </w:t>
      </w:r>
      <w:r w:rsidRPr="00F460C7">
        <w:rPr>
          <w:color w:val="000000" w:themeColor="text1"/>
          <w:lang w:val="ro-RO"/>
        </w:rPr>
        <w:t>lei sau 5</w:t>
      </w:r>
      <w:r w:rsidR="00644DB3" w:rsidRPr="00F460C7">
        <w:rPr>
          <w:color w:val="000000" w:themeColor="text1"/>
          <w:lang w:val="ro-RO"/>
        </w:rPr>
        <w:t>3</w:t>
      </w:r>
      <w:r w:rsidRPr="00F460C7">
        <w:rPr>
          <w:color w:val="000000" w:themeColor="text1"/>
          <w:lang w:val="ro-RO"/>
        </w:rPr>
        <w:t>,</w:t>
      </w:r>
      <w:r w:rsidR="00644DB3" w:rsidRPr="00F460C7">
        <w:rPr>
          <w:color w:val="000000" w:themeColor="text1"/>
          <w:lang w:val="ro-RO"/>
        </w:rPr>
        <w:t>3</w:t>
      </w:r>
      <w:r w:rsidRPr="00F460C7">
        <w:rPr>
          <w:color w:val="000000" w:themeColor="text1"/>
          <w:lang w:val="ro-RO"/>
        </w:rPr>
        <w:t>%</w:t>
      </w:r>
      <w:r w:rsidR="00BC29F9">
        <w:rPr>
          <w:color w:val="000000" w:themeColor="text1"/>
          <w:lang w:val="ro-RO"/>
        </w:rPr>
        <w:t>,</w:t>
      </w:r>
      <w:r w:rsidR="00BB2AE8">
        <w:rPr>
          <w:color w:val="000000" w:themeColor="text1"/>
          <w:lang w:val="ro-RO"/>
        </w:rPr>
        <w:t xml:space="preserve"> </w:t>
      </w:r>
      <w:r w:rsidR="00BC29F9">
        <w:rPr>
          <w:color w:val="000000" w:themeColor="text1"/>
          <w:lang w:val="ro-RO"/>
        </w:rPr>
        <w:t>nivelul executării cheltuielilor salariale constitui</w:t>
      </w:r>
      <w:r w:rsidR="00BB2AE8">
        <w:rPr>
          <w:color w:val="000000" w:themeColor="text1"/>
          <w:lang w:val="ro-RO"/>
        </w:rPr>
        <w:t>nd</w:t>
      </w:r>
      <w:r w:rsidR="00BC29F9">
        <w:rPr>
          <w:color w:val="000000" w:themeColor="text1"/>
          <w:lang w:val="ro-RO"/>
        </w:rPr>
        <w:t xml:space="preserve"> 4,7 mil lei sau 79,7%</w:t>
      </w:r>
      <w:r w:rsidR="00C05564">
        <w:rPr>
          <w:color w:val="000000" w:themeColor="text1"/>
          <w:lang w:val="ro-RO"/>
        </w:rPr>
        <w:t>.</w:t>
      </w:r>
    </w:p>
    <w:p w:rsidR="00F2626E" w:rsidRDefault="00063296" w:rsidP="00F2626E">
      <w:pPr>
        <w:pStyle w:val="BodyTextIndent"/>
        <w:spacing w:line="360" w:lineRule="auto"/>
        <w:ind w:left="0" w:firstLine="567"/>
        <w:rPr>
          <w:color w:val="000000" w:themeColor="text1"/>
          <w:sz w:val="24"/>
          <w:szCs w:val="24"/>
          <w:lang w:val="ro-RO"/>
        </w:rPr>
      </w:pPr>
      <w:r w:rsidRPr="00CE449D">
        <w:rPr>
          <w:color w:val="000000" w:themeColor="text1"/>
          <w:sz w:val="24"/>
          <w:szCs w:val="24"/>
          <w:lang w:val="ro-RO"/>
        </w:rPr>
        <w:t>La situația, 01 ianuarie 201</w:t>
      </w:r>
      <w:r>
        <w:rPr>
          <w:color w:val="000000" w:themeColor="text1"/>
          <w:sz w:val="24"/>
          <w:szCs w:val="24"/>
          <w:lang w:val="ro-RO"/>
        </w:rPr>
        <w:t xml:space="preserve">6, </w:t>
      </w:r>
      <w:r w:rsidR="00F2626E">
        <w:rPr>
          <w:color w:val="000000" w:themeColor="text1"/>
          <w:sz w:val="24"/>
          <w:szCs w:val="24"/>
          <w:lang w:val="ro-RO"/>
        </w:rPr>
        <w:t xml:space="preserve">la nivelul </w:t>
      </w:r>
      <w:r>
        <w:rPr>
          <w:color w:val="000000" w:themeColor="text1"/>
          <w:sz w:val="24"/>
          <w:szCs w:val="24"/>
          <w:lang w:val="ro-RO"/>
        </w:rPr>
        <w:t>bugetelor</w:t>
      </w:r>
      <w:r w:rsidRPr="00CE449D">
        <w:rPr>
          <w:color w:val="000000" w:themeColor="text1"/>
          <w:sz w:val="24"/>
          <w:szCs w:val="24"/>
          <w:lang w:val="ro-RO"/>
        </w:rPr>
        <w:t xml:space="preserve"> unităţi</w:t>
      </w:r>
      <w:r w:rsidR="00F2626E">
        <w:rPr>
          <w:color w:val="000000" w:themeColor="text1"/>
          <w:sz w:val="24"/>
          <w:szCs w:val="24"/>
          <w:lang w:val="ro-RO"/>
        </w:rPr>
        <w:t>lor</w:t>
      </w:r>
      <w:r w:rsidRPr="00CE449D">
        <w:rPr>
          <w:color w:val="000000" w:themeColor="text1"/>
          <w:sz w:val="24"/>
          <w:szCs w:val="24"/>
          <w:lang w:val="ro-RO"/>
        </w:rPr>
        <w:t xml:space="preserve"> administrativ-teritoriale funcţionau </w:t>
      </w:r>
      <w:r w:rsidR="00615D3A">
        <w:rPr>
          <w:color w:val="000000" w:themeColor="text1"/>
          <w:sz w:val="24"/>
          <w:szCs w:val="24"/>
          <w:lang w:val="ro-RO"/>
        </w:rPr>
        <w:t xml:space="preserve"> </w:t>
      </w:r>
      <w:r w:rsidRPr="00063296">
        <w:rPr>
          <w:color w:val="000000" w:themeColor="text1"/>
          <w:sz w:val="24"/>
          <w:szCs w:val="24"/>
          <w:lang w:val="ro-RO"/>
        </w:rPr>
        <w:t xml:space="preserve">29 </w:t>
      </w:r>
      <w:r w:rsidR="00615D3A">
        <w:rPr>
          <w:color w:val="000000" w:themeColor="text1"/>
          <w:sz w:val="24"/>
          <w:szCs w:val="24"/>
          <w:lang w:val="ro-RO"/>
        </w:rPr>
        <w:t>c</w:t>
      </w:r>
      <w:r w:rsidRPr="00063296">
        <w:rPr>
          <w:color w:val="000000" w:themeColor="text1"/>
          <w:sz w:val="24"/>
          <w:szCs w:val="24"/>
          <w:lang w:val="ro-RO"/>
        </w:rPr>
        <w:t>entre de tineret</w:t>
      </w:r>
      <w:r w:rsidR="00F2626E">
        <w:rPr>
          <w:color w:val="000000" w:themeColor="text1"/>
          <w:sz w:val="24"/>
          <w:szCs w:val="24"/>
          <w:lang w:val="ro-RO"/>
        </w:rPr>
        <w:t xml:space="preserve">, în care </w:t>
      </w:r>
      <w:r w:rsidRPr="00CE449D">
        <w:rPr>
          <w:color w:val="000000" w:themeColor="text1"/>
          <w:sz w:val="24"/>
          <w:szCs w:val="24"/>
          <w:lang w:val="ro-RO"/>
        </w:rPr>
        <w:t xml:space="preserve">activau în mediu </w:t>
      </w:r>
      <w:r w:rsidRPr="00F2626E">
        <w:rPr>
          <w:color w:val="000000" w:themeColor="text1"/>
          <w:sz w:val="24"/>
          <w:szCs w:val="24"/>
          <w:lang w:val="ro-RO"/>
        </w:rPr>
        <w:t>147 de angajați</w:t>
      </w:r>
      <w:r w:rsidR="00F2626E">
        <w:rPr>
          <w:color w:val="000000" w:themeColor="text1"/>
          <w:sz w:val="24"/>
          <w:szCs w:val="24"/>
          <w:lang w:val="ro-RO"/>
        </w:rPr>
        <w:t xml:space="preserve"> (</w:t>
      </w:r>
      <w:r w:rsidR="00BB2AE8">
        <w:rPr>
          <w:color w:val="000000" w:themeColor="text1"/>
          <w:sz w:val="24"/>
          <w:szCs w:val="24"/>
          <w:lang w:val="ro-RO"/>
        </w:rPr>
        <w:t xml:space="preserve">187,65 </w:t>
      </w:r>
      <w:r w:rsidRPr="00F2626E">
        <w:rPr>
          <w:color w:val="000000" w:themeColor="text1"/>
          <w:sz w:val="24"/>
          <w:szCs w:val="24"/>
          <w:lang w:val="ro-RO"/>
        </w:rPr>
        <w:t>unități în state</w:t>
      </w:r>
      <w:r w:rsidR="00F2626E">
        <w:rPr>
          <w:color w:val="000000" w:themeColor="text1"/>
          <w:sz w:val="24"/>
          <w:szCs w:val="24"/>
          <w:lang w:val="ro-RO"/>
        </w:rPr>
        <w:t>).</w:t>
      </w:r>
    </w:p>
    <w:p w:rsidR="00F2626E" w:rsidRDefault="00F2626E" w:rsidP="00F2626E">
      <w:pPr>
        <w:pStyle w:val="BodyTextIndent"/>
        <w:spacing w:line="360" w:lineRule="auto"/>
        <w:ind w:left="0" w:firstLine="567"/>
        <w:rPr>
          <w:color w:val="000000" w:themeColor="text1"/>
          <w:sz w:val="24"/>
          <w:szCs w:val="24"/>
          <w:lang w:val="ro-RO"/>
        </w:rPr>
      </w:pPr>
    </w:p>
    <w:p w:rsidR="00BC29F9" w:rsidRPr="00F2626E" w:rsidRDefault="00F2626E" w:rsidP="00F2626E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Bugetul de stat</w:t>
      </w:r>
    </w:p>
    <w:p w:rsidR="00D17CB4" w:rsidRPr="00F460C7" w:rsidRDefault="00F2626E" w:rsidP="002449A6">
      <w:pPr>
        <w:spacing w:line="360" w:lineRule="auto"/>
        <w:ind w:firstLine="567"/>
        <w:jc w:val="both"/>
        <w:rPr>
          <w:lang w:val="ro-RO"/>
        </w:rPr>
      </w:pPr>
      <w:r>
        <w:rPr>
          <w:lang w:val="ro-RO"/>
        </w:rPr>
        <w:t xml:space="preserve">În bugetul </w:t>
      </w:r>
      <w:r w:rsidR="008562C7" w:rsidRPr="00F460C7">
        <w:rPr>
          <w:lang w:val="ro-RO"/>
        </w:rPr>
        <w:t>Ministerului Tineretului și Sportului pe</w:t>
      </w:r>
      <w:r>
        <w:rPr>
          <w:lang w:val="ro-RO"/>
        </w:rPr>
        <w:t>ntru</w:t>
      </w:r>
      <w:r w:rsidR="008562C7" w:rsidRPr="00F460C7">
        <w:rPr>
          <w:lang w:val="ro-RO"/>
        </w:rPr>
        <w:t xml:space="preserve"> anul 2015 </w:t>
      </w:r>
      <w:r w:rsidR="00185105" w:rsidRPr="00F460C7">
        <w:rPr>
          <w:lang w:val="ro-RO"/>
        </w:rPr>
        <w:t xml:space="preserve">în scopul </w:t>
      </w:r>
      <w:r w:rsidR="008562C7" w:rsidRPr="00F460C7">
        <w:rPr>
          <w:lang w:val="ro-RO"/>
        </w:rPr>
        <w:t>desfășur</w:t>
      </w:r>
      <w:r w:rsidR="00BF6175" w:rsidRPr="00F460C7">
        <w:rPr>
          <w:lang w:val="ro-RO"/>
        </w:rPr>
        <w:t>ă</w:t>
      </w:r>
      <w:r w:rsidR="008562C7" w:rsidRPr="00F460C7">
        <w:rPr>
          <w:lang w:val="ro-RO"/>
        </w:rPr>
        <w:t>r</w:t>
      </w:r>
      <w:r w:rsidR="00185105" w:rsidRPr="00F460C7">
        <w:rPr>
          <w:lang w:val="ro-RO"/>
        </w:rPr>
        <w:t>ii</w:t>
      </w:r>
      <w:r w:rsidR="008562C7" w:rsidRPr="00F460C7">
        <w:rPr>
          <w:lang w:val="ro-RO"/>
        </w:rPr>
        <w:t xml:space="preserve"> m</w:t>
      </w:r>
      <w:r w:rsidR="009125CC" w:rsidRPr="00F460C7">
        <w:rPr>
          <w:lang w:val="ro-RO"/>
        </w:rPr>
        <w:t>ă</w:t>
      </w:r>
      <w:r w:rsidR="008562C7" w:rsidRPr="00F460C7">
        <w:rPr>
          <w:lang w:val="ro-RO"/>
        </w:rPr>
        <w:t>surilor de tineret au fost aprobate alocații în volum de 22,</w:t>
      </w:r>
      <w:r w:rsidR="00E24FAF" w:rsidRPr="00F460C7">
        <w:rPr>
          <w:lang w:val="ro-RO"/>
        </w:rPr>
        <w:t>1</w:t>
      </w:r>
      <w:r w:rsidR="009A3D36" w:rsidRPr="00F460C7">
        <w:rPr>
          <w:lang w:val="ro-RO"/>
        </w:rPr>
        <w:t xml:space="preserve"> mil. lei (cu 15 mil lei în creștere față de anul precedent),</w:t>
      </w:r>
      <w:r w:rsidR="008562C7" w:rsidRPr="00F460C7">
        <w:rPr>
          <w:lang w:val="ro-RO"/>
        </w:rPr>
        <w:t xml:space="preserve"> acestea </w:t>
      </w:r>
      <w:r w:rsidR="00BB2AE8">
        <w:rPr>
          <w:lang w:val="ro-RO"/>
        </w:rPr>
        <w:t>fiind</w:t>
      </w:r>
      <w:r w:rsidR="008562C7" w:rsidRPr="00F460C7">
        <w:rPr>
          <w:lang w:val="ro-RO"/>
        </w:rPr>
        <w:t xml:space="preserve"> precizate  în volum de 12,1 mil lei și executate în mărime de 5,1 mil</w:t>
      </w:r>
      <w:r w:rsidR="00BB2AE8">
        <w:rPr>
          <w:lang w:val="ro-RO"/>
        </w:rPr>
        <w:t>.</w:t>
      </w:r>
      <w:r w:rsidR="008562C7" w:rsidRPr="00F460C7">
        <w:rPr>
          <w:lang w:val="ro-RO"/>
        </w:rPr>
        <w:t xml:space="preserve"> lei.</w:t>
      </w:r>
    </w:p>
    <w:p w:rsidR="008562C7" w:rsidRDefault="008562C7" w:rsidP="008562C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F2626E" w:rsidRPr="005E0642" w:rsidRDefault="00F2626E" w:rsidP="008562C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4E28E7" w:rsidRPr="00FC0CE7" w:rsidRDefault="004E28E7" w:rsidP="004E28E7">
      <w:pPr>
        <w:tabs>
          <w:tab w:val="left" w:pos="708"/>
          <w:tab w:val="left" w:pos="1416"/>
          <w:tab w:val="left" w:pos="2124"/>
          <w:tab w:val="right" w:pos="9069"/>
        </w:tabs>
        <w:jc w:val="center"/>
        <w:rPr>
          <w:b/>
          <w:sz w:val="28"/>
          <w:szCs w:val="28"/>
          <w:lang w:val="en-US"/>
        </w:rPr>
      </w:pPr>
      <w:r w:rsidRPr="00FC0CE7">
        <w:rPr>
          <w:b/>
          <w:sz w:val="28"/>
          <w:szCs w:val="28"/>
          <w:lang w:val="en-US"/>
        </w:rPr>
        <w:t>VICEMINISTRU                                                     Maria CĂRĂUŞ</w:t>
      </w:r>
    </w:p>
    <w:p w:rsidR="005A5ED5" w:rsidRPr="00CB6993" w:rsidRDefault="005A5ED5" w:rsidP="005A5ED5">
      <w:pPr>
        <w:tabs>
          <w:tab w:val="left" w:pos="708"/>
          <w:tab w:val="left" w:pos="1416"/>
          <w:tab w:val="left" w:pos="2124"/>
          <w:tab w:val="right" w:pos="9069"/>
        </w:tabs>
        <w:jc w:val="center"/>
        <w:rPr>
          <w:b/>
          <w:sz w:val="28"/>
          <w:szCs w:val="28"/>
          <w:lang w:val="ro-RO"/>
        </w:rPr>
      </w:pPr>
      <w:r w:rsidRPr="00CB6993">
        <w:rPr>
          <w:b/>
          <w:sz w:val="28"/>
          <w:szCs w:val="28"/>
          <w:lang w:val="ro-RO"/>
        </w:rPr>
        <w:t xml:space="preserve">                                                                                      </w:t>
      </w:r>
    </w:p>
    <w:p w:rsidR="00134790" w:rsidRDefault="00134790" w:rsidP="004306EA">
      <w:pPr>
        <w:spacing w:line="276" w:lineRule="auto"/>
        <w:rPr>
          <w:sz w:val="16"/>
          <w:szCs w:val="16"/>
          <w:lang w:val="ro-RO"/>
        </w:rPr>
      </w:pPr>
    </w:p>
    <w:p w:rsidR="00134790" w:rsidRDefault="00134790" w:rsidP="004306EA">
      <w:pPr>
        <w:spacing w:line="276" w:lineRule="auto"/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Default="0074659A" w:rsidP="0074659A">
      <w:pPr>
        <w:rPr>
          <w:sz w:val="16"/>
          <w:szCs w:val="16"/>
          <w:lang w:val="ro-RO"/>
        </w:rPr>
      </w:pPr>
    </w:p>
    <w:p w:rsidR="0074659A" w:rsidRPr="00FA66D8" w:rsidRDefault="0074659A" w:rsidP="0074659A">
      <w:pPr>
        <w:rPr>
          <w:sz w:val="16"/>
          <w:szCs w:val="16"/>
          <w:lang w:val="ro-RO"/>
        </w:rPr>
      </w:pPr>
      <w:r w:rsidRPr="00FA66D8">
        <w:rPr>
          <w:sz w:val="16"/>
          <w:szCs w:val="16"/>
          <w:lang w:val="ro-RO"/>
        </w:rPr>
        <w:t xml:space="preserve">Ex: Veronica Volentiri </w:t>
      </w:r>
    </w:p>
    <w:p w:rsidR="0074659A" w:rsidRPr="00FA66D8" w:rsidRDefault="0074659A" w:rsidP="0074659A">
      <w:pPr>
        <w:rPr>
          <w:sz w:val="16"/>
          <w:szCs w:val="16"/>
          <w:lang w:val="ro-RO"/>
        </w:rPr>
      </w:pPr>
      <w:r w:rsidRPr="00FA66D8">
        <w:rPr>
          <w:sz w:val="16"/>
          <w:szCs w:val="16"/>
          <w:lang w:val="ro-RO"/>
        </w:rPr>
        <w:t xml:space="preserve">Tel:(022) 26-26-88 </w:t>
      </w:r>
    </w:p>
    <w:p w:rsidR="0074659A" w:rsidRPr="00FA66D8" w:rsidRDefault="0074659A" w:rsidP="0074659A">
      <w:pPr>
        <w:rPr>
          <w:sz w:val="16"/>
          <w:szCs w:val="16"/>
          <w:lang w:val="ro-RO"/>
        </w:rPr>
      </w:pPr>
      <w:r w:rsidRPr="00FA66D8">
        <w:rPr>
          <w:sz w:val="16"/>
          <w:szCs w:val="16"/>
          <w:lang w:val="ro-RO"/>
        </w:rPr>
        <w:t>Email:veronica.volentiri@mf.gov.md</w:t>
      </w:r>
    </w:p>
    <w:p w:rsidR="00134790" w:rsidRDefault="00134790" w:rsidP="004306EA">
      <w:pPr>
        <w:spacing w:line="276" w:lineRule="auto"/>
        <w:rPr>
          <w:sz w:val="16"/>
          <w:szCs w:val="16"/>
          <w:lang w:val="ro-RO"/>
        </w:rPr>
      </w:pPr>
    </w:p>
    <w:sectPr w:rsidR="00134790" w:rsidSect="00F233B4">
      <w:pgSz w:w="11906" w:h="16838"/>
      <w:pgMar w:top="719" w:right="850" w:bottom="899" w:left="1418" w:header="720" w:footer="2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AA5" w:rsidRDefault="00034AA5">
      <w:r>
        <w:separator/>
      </w:r>
    </w:p>
  </w:endnote>
  <w:endnote w:type="continuationSeparator" w:id="1">
    <w:p w:rsidR="00034AA5" w:rsidRDefault="0003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AA5" w:rsidRDefault="00034AA5">
      <w:r>
        <w:separator/>
      </w:r>
    </w:p>
  </w:footnote>
  <w:footnote w:type="continuationSeparator" w:id="1">
    <w:p w:rsidR="00034AA5" w:rsidRDefault="00034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89E"/>
    <w:multiLevelType w:val="hybridMultilevel"/>
    <w:tmpl w:val="A4E46F28"/>
    <w:lvl w:ilvl="0" w:tplc="AE243B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E7E4EE5"/>
    <w:multiLevelType w:val="hybridMultilevel"/>
    <w:tmpl w:val="B560AC6C"/>
    <w:lvl w:ilvl="0" w:tplc="1A1C1BF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13C7F9E"/>
    <w:multiLevelType w:val="hybridMultilevel"/>
    <w:tmpl w:val="45DC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204"/>
    <w:rsid w:val="00000960"/>
    <w:rsid w:val="00001661"/>
    <w:rsid w:val="00020452"/>
    <w:rsid w:val="00034AA5"/>
    <w:rsid w:val="0004499C"/>
    <w:rsid w:val="00050CF0"/>
    <w:rsid w:val="000517DF"/>
    <w:rsid w:val="0005280C"/>
    <w:rsid w:val="00055934"/>
    <w:rsid w:val="00057E75"/>
    <w:rsid w:val="00063296"/>
    <w:rsid w:val="00075645"/>
    <w:rsid w:val="0008118F"/>
    <w:rsid w:val="000877EE"/>
    <w:rsid w:val="00094995"/>
    <w:rsid w:val="000A0E09"/>
    <w:rsid w:val="000A6F08"/>
    <w:rsid w:val="000B0C7E"/>
    <w:rsid w:val="000B1916"/>
    <w:rsid w:val="000E5F19"/>
    <w:rsid w:val="00122174"/>
    <w:rsid w:val="00132FB8"/>
    <w:rsid w:val="00134790"/>
    <w:rsid w:val="0013703F"/>
    <w:rsid w:val="001418C3"/>
    <w:rsid w:val="001478BC"/>
    <w:rsid w:val="00161445"/>
    <w:rsid w:val="001749B2"/>
    <w:rsid w:val="00185105"/>
    <w:rsid w:val="00194574"/>
    <w:rsid w:val="001B1A6A"/>
    <w:rsid w:val="001B7E2A"/>
    <w:rsid w:val="001E3C41"/>
    <w:rsid w:val="001E576A"/>
    <w:rsid w:val="001E625E"/>
    <w:rsid w:val="002225E6"/>
    <w:rsid w:val="00242AAE"/>
    <w:rsid w:val="002449A6"/>
    <w:rsid w:val="002525BC"/>
    <w:rsid w:val="00282BA6"/>
    <w:rsid w:val="00292CDB"/>
    <w:rsid w:val="002A10EA"/>
    <w:rsid w:val="002A3E2A"/>
    <w:rsid w:val="002C6AED"/>
    <w:rsid w:val="002D0AA7"/>
    <w:rsid w:val="002D1749"/>
    <w:rsid w:val="002D27A7"/>
    <w:rsid w:val="002D41CD"/>
    <w:rsid w:val="002E1EBC"/>
    <w:rsid w:val="002F4E5A"/>
    <w:rsid w:val="002F66D3"/>
    <w:rsid w:val="00306C39"/>
    <w:rsid w:val="00312649"/>
    <w:rsid w:val="00312A66"/>
    <w:rsid w:val="0033417A"/>
    <w:rsid w:val="00335327"/>
    <w:rsid w:val="00362750"/>
    <w:rsid w:val="00387964"/>
    <w:rsid w:val="0039024D"/>
    <w:rsid w:val="0039476B"/>
    <w:rsid w:val="003A23F9"/>
    <w:rsid w:val="003A4A46"/>
    <w:rsid w:val="003B206C"/>
    <w:rsid w:val="003D247C"/>
    <w:rsid w:val="003D6ECE"/>
    <w:rsid w:val="003E2D2F"/>
    <w:rsid w:val="003F529C"/>
    <w:rsid w:val="003F5BA2"/>
    <w:rsid w:val="00406975"/>
    <w:rsid w:val="00422228"/>
    <w:rsid w:val="004306EA"/>
    <w:rsid w:val="00443C7A"/>
    <w:rsid w:val="00456F64"/>
    <w:rsid w:val="004636AC"/>
    <w:rsid w:val="004868C5"/>
    <w:rsid w:val="0048727C"/>
    <w:rsid w:val="00491812"/>
    <w:rsid w:val="00497151"/>
    <w:rsid w:val="004B47A6"/>
    <w:rsid w:val="004B4818"/>
    <w:rsid w:val="004D21CE"/>
    <w:rsid w:val="004D7F3E"/>
    <w:rsid w:val="004E28E7"/>
    <w:rsid w:val="00531299"/>
    <w:rsid w:val="00552467"/>
    <w:rsid w:val="00562537"/>
    <w:rsid w:val="005833D1"/>
    <w:rsid w:val="005860D9"/>
    <w:rsid w:val="00587204"/>
    <w:rsid w:val="0059423A"/>
    <w:rsid w:val="0059776B"/>
    <w:rsid w:val="005A5ED5"/>
    <w:rsid w:val="005A68A6"/>
    <w:rsid w:val="005D079D"/>
    <w:rsid w:val="005E0642"/>
    <w:rsid w:val="005E4B41"/>
    <w:rsid w:val="005E4E16"/>
    <w:rsid w:val="00601289"/>
    <w:rsid w:val="00615D3A"/>
    <w:rsid w:val="00624B5D"/>
    <w:rsid w:val="00642186"/>
    <w:rsid w:val="00644DB3"/>
    <w:rsid w:val="006455A4"/>
    <w:rsid w:val="0066557E"/>
    <w:rsid w:val="0068672A"/>
    <w:rsid w:val="00693C14"/>
    <w:rsid w:val="006A05E2"/>
    <w:rsid w:val="006A29CA"/>
    <w:rsid w:val="006A3313"/>
    <w:rsid w:val="006B6B0E"/>
    <w:rsid w:val="00701C7D"/>
    <w:rsid w:val="007052BE"/>
    <w:rsid w:val="00712AE8"/>
    <w:rsid w:val="007231A9"/>
    <w:rsid w:val="00731610"/>
    <w:rsid w:val="0074659A"/>
    <w:rsid w:val="00755F31"/>
    <w:rsid w:val="00766D38"/>
    <w:rsid w:val="007746C6"/>
    <w:rsid w:val="00782613"/>
    <w:rsid w:val="007942CF"/>
    <w:rsid w:val="007B577E"/>
    <w:rsid w:val="007D4DF5"/>
    <w:rsid w:val="007F0EFF"/>
    <w:rsid w:val="00803938"/>
    <w:rsid w:val="00815087"/>
    <w:rsid w:val="008229CA"/>
    <w:rsid w:val="00823451"/>
    <w:rsid w:val="00824282"/>
    <w:rsid w:val="00844619"/>
    <w:rsid w:val="0085199F"/>
    <w:rsid w:val="00852810"/>
    <w:rsid w:val="008562C7"/>
    <w:rsid w:val="00861A38"/>
    <w:rsid w:val="00881B1B"/>
    <w:rsid w:val="008826BF"/>
    <w:rsid w:val="0089123A"/>
    <w:rsid w:val="008944C0"/>
    <w:rsid w:val="008972CD"/>
    <w:rsid w:val="008C1244"/>
    <w:rsid w:val="008F79A5"/>
    <w:rsid w:val="009125CC"/>
    <w:rsid w:val="00914EEC"/>
    <w:rsid w:val="0094158B"/>
    <w:rsid w:val="009463F1"/>
    <w:rsid w:val="009708BC"/>
    <w:rsid w:val="00991F86"/>
    <w:rsid w:val="009A21D0"/>
    <w:rsid w:val="009A386A"/>
    <w:rsid w:val="009A3D36"/>
    <w:rsid w:val="009A5DA9"/>
    <w:rsid w:val="009C58DD"/>
    <w:rsid w:val="009C63D5"/>
    <w:rsid w:val="009D4FE2"/>
    <w:rsid w:val="009E5D21"/>
    <w:rsid w:val="009F0FCA"/>
    <w:rsid w:val="009F312E"/>
    <w:rsid w:val="00A02432"/>
    <w:rsid w:val="00A17AB9"/>
    <w:rsid w:val="00A21884"/>
    <w:rsid w:val="00A32374"/>
    <w:rsid w:val="00A340F9"/>
    <w:rsid w:val="00A453A9"/>
    <w:rsid w:val="00A80790"/>
    <w:rsid w:val="00A813C3"/>
    <w:rsid w:val="00AB0C9E"/>
    <w:rsid w:val="00AB1120"/>
    <w:rsid w:val="00AC2959"/>
    <w:rsid w:val="00AD015F"/>
    <w:rsid w:val="00AD3A34"/>
    <w:rsid w:val="00AD6BDC"/>
    <w:rsid w:val="00B0690A"/>
    <w:rsid w:val="00B3153B"/>
    <w:rsid w:val="00B52327"/>
    <w:rsid w:val="00B61B28"/>
    <w:rsid w:val="00B62403"/>
    <w:rsid w:val="00B64DBC"/>
    <w:rsid w:val="00B662DC"/>
    <w:rsid w:val="00B95799"/>
    <w:rsid w:val="00B97596"/>
    <w:rsid w:val="00BB1E02"/>
    <w:rsid w:val="00BB2372"/>
    <w:rsid w:val="00BB2AE8"/>
    <w:rsid w:val="00BC0C6A"/>
    <w:rsid w:val="00BC29F9"/>
    <w:rsid w:val="00BC44AF"/>
    <w:rsid w:val="00BC69D8"/>
    <w:rsid w:val="00BE692F"/>
    <w:rsid w:val="00BF6175"/>
    <w:rsid w:val="00C01AF2"/>
    <w:rsid w:val="00C02631"/>
    <w:rsid w:val="00C05564"/>
    <w:rsid w:val="00C06B5C"/>
    <w:rsid w:val="00C315E5"/>
    <w:rsid w:val="00C6140D"/>
    <w:rsid w:val="00C81331"/>
    <w:rsid w:val="00C934A8"/>
    <w:rsid w:val="00CB6993"/>
    <w:rsid w:val="00CE7682"/>
    <w:rsid w:val="00CF3F8B"/>
    <w:rsid w:val="00D1056D"/>
    <w:rsid w:val="00D13927"/>
    <w:rsid w:val="00D13D0A"/>
    <w:rsid w:val="00D17CB4"/>
    <w:rsid w:val="00D25543"/>
    <w:rsid w:val="00D3481D"/>
    <w:rsid w:val="00D44652"/>
    <w:rsid w:val="00D54443"/>
    <w:rsid w:val="00D550B0"/>
    <w:rsid w:val="00D57FB4"/>
    <w:rsid w:val="00D85A35"/>
    <w:rsid w:val="00D866F4"/>
    <w:rsid w:val="00DE7E9C"/>
    <w:rsid w:val="00E00DA0"/>
    <w:rsid w:val="00E10A07"/>
    <w:rsid w:val="00E24FAF"/>
    <w:rsid w:val="00E27293"/>
    <w:rsid w:val="00E308E1"/>
    <w:rsid w:val="00E30EFE"/>
    <w:rsid w:val="00E37F9D"/>
    <w:rsid w:val="00E52F2A"/>
    <w:rsid w:val="00E75A9A"/>
    <w:rsid w:val="00E87934"/>
    <w:rsid w:val="00EA53E3"/>
    <w:rsid w:val="00EA54A4"/>
    <w:rsid w:val="00EB228A"/>
    <w:rsid w:val="00EC0324"/>
    <w:rsid w:val="00EC38BB"/>
    <w:rsid w:val="00ED2479"/>
    <w:rsid w:val="00EF1AFC"/>
    <w:rsid w:val="00EF64DD"/>
    <w:rsid w:val="00F119D1"/>
    <w:rsid w:val="00F233B4"/>
    <w:rsid w:val="00F2626E"/>
    <w:rsid w:val="00F30615"/>
    <w:rsid w:val="00F460C7"/>
    <w:rsid w:val="00F778E2"/>
    <w:rsid w:val="00F850F0"/>
    <w:rsid w:val="00F9011C"/>
    <w:rsid w:val="00F961CA"/>
    <w:rsid w:val="00FA5F09"/>
    <w:rsid w:val="00FB081E"/>
    <w:rsid w:val="00FB2C97"/>
    <w:rsid w:val="00FB52D5"/>
    <w:rsid w:val="00FC4165"/>
    <w:rsid w:val="00FE1629"/>
    <w:rsid w:val="00FE7DC3"/>
    <w:rsid w:val="00FF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B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7204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587204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1B1A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1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0690A"/>
    <w:rPr>
      <w:color w:val="0000FF"/>
      <w:u w:val="single"/>
    </w:rPr>
  </w:style>
  <w:style w:type="paragraph" w:styleId="NoSpacing">
    <w:name w:val="No Spacing"/>
    <w:uiPriority w:val="1"/>
    <w:qFormat/>
    <w:rsid w:val="00E10A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F529C"/>
    <w:pPr>
      <w:ind w:firstLine="567"/>
      <w:jc w:val="both"/>
    </w:pPr>
  </w:style>
  <w:style w:type="paragraph" w:styleId="BodyTextIndent">
    <w:name w:val="Body Text Indent"/>
    <w:basedOn w:val="Normal"/>
    <w:link w:val="BodyTextIndentChar"/>
    <w:rsid w:val="00063296"/>
    <w:pPr>
      <w:ind w:left="-270" w:firstLine="270"/>
      <w:jc w:val="both"/>
    </w:pPr>
    <w:rPr>
      <w:sz w:val="36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63296"/>
    <w:rPr>
      <w:sz w:val="3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mf.gov.md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en-US" sz="1200" b="0" i="1">
                <a:latin typeface="Times New Roman" pitchFamily="18" charset="0"/>
                <a:cs typeface="Times New Roman" pitchFamily="18" charset="0"/>
              </a:rPr>
              <a:t>BPN aprobat</a:t>
            </a:r>
            <a:endParaRPr lang="ro-MO" sz="1200" b="0" i="1">
              <a:latin typeface="Times New Roman" pitchFamily="18" charset="0"/>
              <a:cs typeface="Times New Roman" pitchFamily="18" charset="0"/>
            </a:endParaRP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25"/>
          <c:dLbls>
            <c:showPercent val="1"/>
          </c:dLbls>
          <c:cat>
            <c:strRef>
              <c:f>Sheet1!$A$2:$A$3</c:f>
              <c:strCache>
                <c:ptCount val="2"/>
                <c:pt idx="0">
                  <c:v>Bugetul de Stat</c:v>
                </c:pt>
                <c:pt idx="1">
                  <c:v>Bugetele UAT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22069.4</c:v>
                </c:pt>
                <c:pt idx="1">
                  <c:v>19516.900000000001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o-MO" sz="1200" b="0" i="1">
                <a:latin typeface="Times New Roman" pitchFamily="18" charset="0"/>
                <a:cs typeface="Times New Roman" pitchFamily="18" charset="0"/>
              </a:rPr>
              <a:t>Activități de tineret BUAT</a:t>
            </a:r>
          </a:p>
        </c:rich>
      </c:tx>
      <c:layout>
        <c:manualLayout>
          <c:xMode val="edge"/>
          <c:yMode val="edge"/>
          <c:x val="0.23473563531354011"/>
          <c:y val="0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5312373568440646"/>
          <c:y val="0.1057491978452061"/>
          <c:w val="0.82141331291921849"/>
          <c:h val="0.72884309648245682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Aprobat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50000"/>
                    <a:satMod val="300000"/>
                  </a:schemeClr>
                </a:gs>
                <a:gs pos="35000">
                  <a:schemeClr val="accent3">
                    <a:tint val="37000"/>
                    <a:satMod val="300000"/>
                  </a:schemeClr>
                </a:gs>
                <a:gs pos="100000">
                  <a:schemeClr val="accent3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cat>
            <c:numRef>
              <c:f>Sheet1!$A$2:$A$4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Sheet1!$B$2:$B$4</c:f>
              <c:numCache>
                <c:formatCode>0.0</c:formatCode>
                <c:ptCount val="3"/>
                <c:pt idx="0">
                  <c:v>6427.3</c:v>
                </c:pt>
                <c:pt idx="1">
                  <c:v>6363</c:v>
                </c:pt>
                <c:pt idx="2">
                  <c:v>8147.6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Executat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cat>
            <c:numRef>
              <c:f>Sheet1!$A$2:$A$4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Sheet1!$C$2:$C$4</c:f>
              <c:numCache>
                <c:formatCode>0.0</c:formatCode>
                <c:ptCount val="3"/>
                <c:pt idx="0">
                  <c:v>5731.2</c:v>
                </c:pt>
                <c:pt idx="1">
                  <c:v>7233</c:v>
                </c:pt>
                <c:pt idx="2">
                  <c:v>7293.7</c:v>
                </c:pt>
              </c:numCache>
            </c:numRef>
          </c:val>
        </c:ser>
        <c:shape val="cylinder"/>
        <c:axId val="108103936"/>
        <c:axId val="108232704"/>
        <c:axId val="0"/>
      </c:bar3DChart>
      <c:catAx>
        <c:axId val="108103936"/>
        <c:scaling>
          <c:orientation val="minMax"/>
        </c:scaling>
        <c:axPos val="b"/>
        <c:numFmt formatCode="General" sourceLinked="1"/>
        <c:majorTickMark val="none"/>
        <c:tickLblPos val="nextTo"/>
        <c:crossAx val="108232704"/>
        <c:crosses val="autoZero"/>
        <c:auto val="1"/>
        <c:lblAlgn val="ctr"/>
        <c:lblOffset val="100"/>
      </c:catAx>
      <c:valAx>
        <c:axId val="10823270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o-MO"/>
                  <a:t>mii lei</a:t>
                </a:r>
              </a:p>
            </c:rich>
          </c:tx>
        </c:title>
        <c:numFmt formatCode="0.0" sourceLinked="1"/>
        <c:majorTickMark val="none"/>
        <c:tickLblPos val="nextTo"/>
        <c:crossAx val="1081039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o-MO" sz="1200" b="0" i="1">
                <a:latin typeface="Times New Roman" pitchFamily="18" charset="0"/>
                <a:cs typeface="Times New Roman" pitchFamily="18" charset="0"/>
              </a:rPr>
              <a:t>Centre de tineret BUAT</a:t>
            </a:r>
          </a:p>
        </c:rich>
      </c:tx>
      <c:layout>
        <c:manualLayout>
          <c:xMode val="edge"/>
          <c:yMode val="edge"/>
          <c:x val="0.3096913575060955"/>
          <c:y val="0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6821099513400251"/>
          <c:y val="0.10726101532399947"/>
          <c:w val="0.79709281131525223"/>
          <c:h val="0.6891566472044246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Aprobat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50000"/>
                    <a:satMod val="300000"/>
                  </a:schemeClr>
                </a:gs>
                <a:gs pos="35000">
                  <a:schemeClr val="accent3">
                    <a:tint val="37000"/>
                    <a:satMod val="300000"/>
                  </a:schemeClr>
                </a:gs>
                <a:gs pos="100000">
                  <a:schemeClr val="accent3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cat>
            <c:numRef>
              <c:f>Sheet1!$A$2:$A$4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Sheet1!$B$2:$B$4</c:f>
              <c:numCache>
                <c:formatCode>#,##0.0</c:formatCode>
                <c:ptCount val="3"/>
                <c:pt idx="0">
                  <c:v>10881</c:v>
                </c:pt>
                <c:pt idx="1">
                  <c:v>16196.3</c:v>
                </c:pt>
                <c:pt idx="2">
                  <c:v>11369.3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Executat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cat>
            <c:numRef>
              <c:f>Sheet1!$A$2:$A$4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Sheet1!$C$2:$C$4</c:f>
              <c:numCache>
                <c:formatCode>#,##0.0</c:formatCode>
                <c:ptCount val="3"/>
                <c:pt idx="0">
                  <c:v>14061</c:v>
                </c:pt>
                <c:pt idx="1">
                  <c:v>14897.3</c:v>
                </c:pt>
                <c:pt idx="2">
                  <c:v>8383.6</c:v>
                </c:pt>
              </c:numCache>
            </c:numRef>
          </c:val>
        </c:ser>
        <c:shape val="cylinder"/>
        <c:axId val="95922432"/>
        <c:axId val="108175360"/>
        <c:axId val="0"/>
      </c:bar3DChart>
      <c:catAx>
        <c:axId val="95922432"/>
        <c:scaling>
          <c:orientation val="minMax"/>
        </c:scaling>
        <c:axPos val="b"/>
        <c:numFmt formatCode="General" sourceLinked="1"/>
        <c:majorTickMark val="none"/>
        <c:tickLblPos val="nextTo"/>
        <c:crossAx val="108175360"/>
        <c:crosses val="autoZero"/>
        <c:auto val="1"/>
        <c:lblAlgn val="ctr"/>
        <c:lblOffset val="100"/>
      </c:catAx>
      <c:valAx>
        <c:axId val="10817536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o-MO"/>
                  <a:t>mii lei</a:t>
                </a:r>
              </a:p>
            </c:rich>
          </c:tx>
        </c:title>
        <c:numFmt formatCode="#,##0.0" sourceLinked="1"/>
        <c:majorTickMark val="none"/>
        <c:tickLblPos val="nextTo"/>
        <c:crossAx val="959224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38E88-A17A-4987-883A-A0D77A9E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MINISTERUL FINANŢELOR</vt:lpstr>
      <vt:lpstr>MINISTERUL FINANŢELOR</vt:lpstr>
    </vt:vector>
  </TitlesOfParts>
  <Company>AAAA</Company>
  <LinksUpToDate>false</LinksUpToDate>
  <CharactersWithSpaces>4060</CharactersWithSpaces>
  <SharedDoc>false</SharedDoc>
  <HLinks>
    <vt:vector size="6" baseType="variant">
      <vt:variant>
        <vt:i4>5046346</vt:i4>
      </vt:variant>
      <vt:variant>
        <vt:i4>0</vt:i4>
      </vt:variant>
      <vt:variant>
        <vt:i4>0</vt:i4>
      </vt:variant>
      <vt:variant>
        <vt:i4>5</vt:i4>
      </vt:variant>
      <vt:variant>
        <vt:lpwstr>http://www.mf.gov.md/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FINANŢELOR</dc:title>
  <dc:creator>Compaq</dc:creator>
  <cp:lastModifiedBy>volentiriv</cp:lastModifiedBy>
  <cp:revision>67</cp:revision>
  <cp:lastPrinted>2016-02-16T07:37:00Z</cp:lastPrinted>
  <dcterms:created xsi:type="dcterms:W3CDTF">2015-07-09T05:38:00Z</dcterms:created>
  <dcterms:modified xsi:type="dcterms:W3CDTF">2016-02-16T07:38:00Z</dcterms:modified>
</cp:coreProperties>
</file>