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EF" w:rsidRDefault="00BD6AEF">
      <w:pPr>
        <w:rPr>
          <w:rFonts w:ascii="Times New Roman" w:hAnsi="Times New Roman" w:cs="Times New Roman"/>
          <w:b/>
        </w:rPr>
      </w:pPr>
    </w:p>
    <w:p w:rsidR="00F868EF" w:rsidRPr="00DA4363" w:rsidRDefault="00F868EF" w:rsidP="00DA4363">
      <w:pPr>
        <w:jc w:val="center"/>
        <w:rPr>
          <w:rFonts w:ascii="Times New Roman" w:hAnsi="Times New Roman" w:cs="Times New Roman"/>
          <w:b/>
        </w:rPr>
      </w:pPr>
      <w:proofErr w:type="spellStart"/>
      <w:r w:rsidRPr="00727EC1">
        <w:rPr>
          <w:rFonts w:ascii="Times New Roman" w:hAnsi="Times New Roman" w:cs="Times New Roman"/>
          <w:sz w:val="24"/>
          <w:szCs w:val="24"/>
          <w:u w:val="single"/>
        </w:rPr>
        <w:t>Activit</w:t>
      </w:r>
      <w:r w:rsidRPr="00727EC1">
        <w:rPr>
          <w:rFonts w:ascii="Times New Roman" w:hAnsi="Times New Roman" w:cs="Times New Roman"/>
          <w:sz w:val="24"/>
          <w:szCs w:val="24"/>
          <w:u w:val="single"/>
          <w:lang w:val="ro-RO"/>
        </w:rPr>
        <w:t>ățile</w:t>
      </w:r>
      <w:proofErr w:type="spellEnd"/>
      <w:r w:rsidRPr="00727EC1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desfășurate</w:t>
      </w:r>
      <w:r w:rsidR="00EE46A8" w:rsidRPr="00727EC1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pe parcursul anului 2015</w:t>
      </w:r>
      <w:r w:rsidRPr="00727EC1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conform Strategiei Naționale de Dezvoltare a Sectorului de Tineret 2020 (H.G. 1006 din 10.12.2014) și a Planului de Acțiuni al acesteia.</w:t>
      </w:r>
    </w:p>
    <w:p w:rsidR="005B4C9A" w:rsidRDefault="005B4C9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868EF" w:rsidRPr="00392F54" w:rsidRDefault="00F868E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2F54">
        <w:rPr>
          <w:rFonts w:ascii="Times New Roman" w:hAnsi="Times New Roman" w:cs="Times New Roman"/>
          <w:b/>
          <w:sz w:val="24"/>
          <w:szCs w:val="24"/>
          <w:lang w:val="ro-RO"/>
        </w:rPr>
        <w:t>1. Date generale</w:t>
      </w:r>
    </w:p>
    <w:tbl>
      <w:tblPr>
        <w:tblStyle w:val="TableGrid"/>
        <w:tblW w:w="0" w:type="auto"/>
        <w:tblLook w:val="04A0"/>
      </w:tblPr>
      <w:tblGrid>
        <w:gridCol w:w="4778"/>
        <w:gridCol w:w="9010"/>
      </w:tblGrid>
      <w:tr w:rsidR="00F868EF" w:rsidRPr="00392F54" w:rsidTr="00F868EF">
        <w:tc>
          <w:tcPr>
            <w:tcW w:w="3888" w:type="dxa"/>
          </w:tcPr>
          <w:p w:rsidR="00F868EF" w:rsidRPr="00392F54" w:rsidRDefault="00F868EF" w:rsidP="00F868EF">
            <w:pPr>
              <w:ind w:right="37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9900" w:type="dxa"/>
          </w:tcPr>
          <w:p w:rsidR="00F868EF" w:rsidRPr="00392F54" w:rsidRDefault="009C49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Muncii, Protecției Sociale și Familiei</w:t>
            </w:r>
          </w:p>
        </w:tc>
      </w:tr>
      <w:tr w:rsidR="00F868EF" w:rsidRPr="00392F54" w:rsidTr="00F868EF">
        <w:tc>
          <w:tcPr>
            <w:tcW w:w="3888" w:type="dxa"/>
          </w:tcPr>
          <w:p w:rsidR="00F868EF" w:rsidRPr="00392F54" w:rsidRDefault="00F868EF" w:rsidP="00F868E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care a completat formularul</w:t>
            </w:r>
          </w:p>
        </w:tc>
        <w:tc>
          <w:tcPr>
            <w:tcW w:w="9900" w:type="dxa"/>
          </w:tcPr>
          <w:p w:rsidR="00F868EF" w:rsidRPr="00392F54" w:rsidRDefault="009C49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Micu Svetlana</w:t>
            </w:r>
          </w:p>
        </w:tc>
      </w:tr>
      <w:tr w:rsidR="00F868EF" w:rsidRPr="00392F54" w:rsidTr="00F868EF">
        <w:tc>
          <w:tcPr>
            <w:tcW w:w="3888" w:type="dxa"/>
          </w:tcPr>
          <w:p w:rsidR="00F868EF" w:rsidRPr="00392F54" w:rsidRDefault="00F868EF" w:rsidP="00F868E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Funcția </w:t>
            </w:r>
            <w:r w:rsidR="009C49B2"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cadrul instituției</w:t>
            </w:r>
          </w:p>
        </w:tc>
        <w:tc>
          <w:tcPr>
            <w:tcW w:w="9900" w:type="dxa"/>
          </w:tcPr>
          <w:p w:rsidR="00F868EF" w:rsidRPr="00392F54" w:rsidRDefault="009C49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Consultant - Direcția analiză, monitorizare și evaluare a politicilor</w:t>
            </w:r>
          </w:p>
        </w:tc>
      </w:tr>
      <w:tr w:rsidR="00F868EF" w:rsidRPr="00392F54" w:rsidTr="00F868EF">
        <w:tc>
          <w:tcPr>
            <w:tcW w:w="3888" w:type="dxa"/>
          </w:tcPr>
          <w:p w:rsidR="00F868EF" w:rsidRPr="00392F54" w:rsidRDefault="009C49B2" w:rsidP="009C49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 de cont</w:t>
            </w:r>
          </w:p>
        </w:tc>
        <w:tc>
          <w:tcPr>
            <w:tcW w:w="9900" w:type="dxa"/>
          </w:tcPr>
          <w:p w:rsidR="00F868EF" w:rsidRPr="00392F54" w:rsidRDefault="009C49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Tel. 022-269-361; e-mail : svetlana.micu@mmpsf.gov.md</w:t>
            </w:r>
          </w:p>
        </w:tc>
      </w:tr>
    </w:tbl>
    <w:p w:rsidR="00EB6014" w:rsidRDefault="00EB601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868EF" w:rsidRPr="00392F54" w:rsidRDefault="00BB49B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2F54">
        <w:rPr>
          <w:rFonts w:ascii="Times New Roman" w:hAnsi="Times New Roman" w:cs="Times New Roman"/>
          <w:b/>
          <w:sz w:val="24"/>
          <w:szCs w:val="24"/>
          <w:lang w:val="ro-RO"/>
        </w:rPr>
        <w:t>2. Nivelul de realizare a acțiunilor</w:t>
      </w:r>
    </w:p>
    <w:tbl>
      <w:tblPr>
        <w:tblStyle w:val="TableGrid"/>
        <w:tblW w:w="0" w:type="auto"/>
        <w:tblLook w:val="04A0"/>
      </w:tblPr>
      <w:tblGrid>
        <w:gridCol w:w="3078"/>
        <w:gridCol w:w="1710"/>
        <w:gridCol w:w="3330"/>
        <w:gridCol w:w="2610"/>
        <w:gridCol w:w="3060"/>
      </w:tblGrid>
      <w:tr w:rsidR="00BB49B5" w:rsidRPr="00392F54" w:rsidTr="00EB6014">
        <w:tc>
          <w:tcPr>
            <w:tcW w:w="3078" w:type="dxa"/>
          </w:tcPr>
          <w:p w:rsidR="00BB49B5" w:rsidRPr="00392F54" w:rsidRDefault="00BB49B5" w:rsidP="00EB6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Obiective, acțiuni și indicatorii de rezultat</w:t>
            </w:r>
          </w:p>
        </w:tc>
        <w:tc>
          <w:tcPr>
            <w:tcW w:w="5040" w:type="dxa"/>
            <w:gridSpan w:val="2"/>
          </w:tcPr>
          <w:p w:rsidR="00BB49B5" w:rsidRPr="00392F54" w:rsidRDefault="004626A3" w:rsidP="00EB6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Gradul de realizare</w:t>
            </w:r>
          </w:p>
        </w:tc>
        <w:tc>
          <w:tcPr>
            <w:tcW w:w="2610" w:type="dxa"/>
          </w:tcPr>
          <w:p w:rsidR="00BB49B5" w:rsidRPr="00392F54" w:rsidRDefault="004626A3" w:rsidP="00EB6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Rezultatele obținute</w:t>
            </w:r>
          </w:p>
        </w:tc>
        <w:tc>
          <w:tcPr>
            <w:tcW w:w="3060" w:type="dxa"/>
          </w:tcPr>
          <w:p w:rsidR="00BB49B5" w:rsidRPr="00392F54" w:rsidRDefault="004626A3" w:rsidP="00EB6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Surse de informare și documentare</w:t>
            </w:r>
          </w:p>
        </w:tc>
      </w:tr>
      <w:tr w:rsidR="004626A3" w:rsidRPr="00392F54" w:rsidTr="00EB6014">
        <w:tc>
          <w:tcPr>
            <w:tcW w:w="13788" w:type="dxa"/>
            <w:gridSpan w:val="5"/>
          </w:tcPr>
          <w:p w:rsidR="004626A3" w:rsidRPr="00392F54" w:rsidRDefault="004626A3" w:rsidP="00EB6014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</w:pPr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Prioritatea III. </w:t>
            </w:r>
            <w:r w:rsidRPr="00392F54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Oportunitățile economice pentru tineri</w:t>
            </w:r>
          </w:p>
          <w:p w:rsidR="004626A3" w:rsidRPr="00392F54" w:rsidRDefault="004626A3" w:rsidP="00EB60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Obiectivul general 3.</w:t>
            </w: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Dezvoltarea oportunităților antreprenoriale și de angajare în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rîndul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tinerilor, în special al celor cu oportunități reduse</w:t>
            </w:r>
            <w:r w:rsidR="007F605B"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4626A3" w:rsidRPr="00392F54" w:rsidTr="00EB6014">
        <w:tc>
          <w:tcPr>
            <w:tcW w:w="13788" w:type="dxa"/>
            <w:gridSpan w:val="5"/>
          </w:tcPr>
          <w:p w:rsidR="004626A3" w:rsidRPr="00392F54" w:rsidRDefault="007F605B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Subprioritatea</w:t>
            </w:r>
            <w:proofErr w:type="spellEnd"/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3.2. </w:t>
            </w: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Oportunitățile de angajare</w:t>
            </w:r>
          </w:p>
        </w:tc>
      </w:tr>
      <w:tr w:rsidR="007F605B" w:rsidRPr="00392F54" w:rsidTr="00EB6014">
        <w:tc>
          <w:tcPr>
            <w:tcW w:w="13788" w:type="dxa"/>
            <w:gridSpan w:val="5"/>
          </w:tcPr>
          <w:p w:rsidR="007F605B" w:rsidRPr="00392F54" w:rsidRDefault="007F605B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Obiectivul specific 3.2. </w:t>
            </w: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Creșterea, de la 28% în anul 2013 la 35% în anul 2020, a ratei de ocupare pe piața muncii a tinerilor cu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vîrsta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15-29 ani</w:t>
            </w:r>
          </w:p>
        </w:tc>
      </w:tr>
      <w:tr w:rsidR="007F605B" w:rsidRPr="00392F54" w:rsidTr="00EB6014">
        <w:tc>
          <w:tcPr>
            <w:tcW w:w="13788" w:type="dxa"/>
            <w:gridSpan w:val="5"/>
          </w:tcPr>
          <w:p w:rsidR="007F605B" w:rsidRPr="00392F54" w:rsidRDefault="007F605B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R.3.2.1. </w:t>
            </w: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Rata șomajului scăzută de la 12,1% în anul 2013 la 8% în anul 2020 pentru categoria de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vîrstă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15-24 ani și de la 8,7% în anul 2013 la 5% în anul 2020 pentru categoria de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vîrstă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15-29 ani</w:t>
            </w:r>
          </w:p>
        </w:tc>
      </w:tr>
      <w:tr w:rsidR="007F605B" w:rsidRPr="00392F54" w:rsidTr="00EB6014">
        <w:trPr>
          <w:trHeight w:val="4139"/>
        </w:trPr>
        <w:tc>
          <w:tcPr>
            <w:tcW w:w="3078" w:type="dxa"/>
          </w:tcPr>
          <w:p w:rsidR="007F605B" w:rsidRPr="00392F54" w:rsidRDefault="00281A78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90. </w:t>
            </w: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cursurilor de formare profesională pentru tinerii înregistrați ca șomeri la agențiile teritoriale pentru ocuparea forței de muncă</w:t>
            </w:r>
          </w:p>
          <w:p w:rsidR="00CE06BF" w:rsidRPr="00392F54" w:rsidRDefault="00CE06BF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</w:t>
            </w: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: Numărul de beneficiari ai cursurilor de formare profesională</w:t>
            </w:r>
          </w:p>
        </w:tc>
        <w:tc>
          <w:tcPr>
            <w:tcW w:w="5040" w:type="dxa"/>
            <w:gridSpan w:val="2"/>
          </w:tcPr>
          <w:p w:rsidR="007F605B" w:rsidRPr="00392F54" w:rsidRDefault="00BA669A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absolvit cursuri</w:t>
            </w:r>
            <w:r w:rsidR="00CE06BF"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de formare profesională – 2089 persoane (</w:t>
            </w:r>
            <w:proofErr w:type="spellStart"/>
            <w:r w:rsidR="00CE06BF"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vîrsta</w:t>
            </w:r>
            <w:proofErr w:type="spellEnd"/>
            <w:r w:rsidR="00CE06BF"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16-29 ani)</w:t>
            </w:r>
          </w:p>
        </w:tc>
        <w:tc>
          <w:tcPr>
            <w:tcW w:w="2610" w:type="dxa"/>
          </w:tcPr>
          <w:p w:rsidR="007F605B" w:rsidRPr="00392F54" w:rsidRDefault="006427E3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urma absolvirii cursurilor de formare profesională,  au fost plasați în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cîmpul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muncii 1633 tineri.</w:t>
            </w:r>
          </w:p>
        </w:tc>
        <w:tc>
          <w:tcPr>
            <w:tcW w:w="3060" w:type="dxa"/>
          </w:tcPr>
          <w:p w:rsidR="00BD6AEF" w:rsidRPr="00392F54" w:rsidRDefault="004D6EBA" w:rsidP="00EB6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Site-ul </w:t>
            </w:r>
            <w:hyperlink r:id="rId5" w:history="1">
              <w:r w:rsidR="003052E7" w:rsidRPr="00392F5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www.anofm.md/ Bibliotecă /Compartimentul</w:t>
              </w:r>
            </w:hyperlink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7F605B" w:rsidRPr="00392F54" w:rsidRDefault="004D6EBA" w:rsidP="00EB6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 Informație Statistică”</w:t>
            </w:r>
            <w:r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/ RAPORT STATISTIC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</w:rPr>
              <w:t>ocupare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</w:rPr>
              <w:t>protecție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social a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aflate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căutarea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loc de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muncă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agențiile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ocuparea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forței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muncă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  <w:proofErr w:type="spellEnd"/>
            <w:r w:rsidR="00F85BA4" w:rsidRPr="00392F54">
              <w:rPr>
                <w:rFonts w:ascii="Times New Roman" w:hAnsi="Times New Roman" w:cs="Times New Roman"/>
                <w:sz w:val="24"/>
                <w:szCs w:val="24"/>
              </w:rPr>
              <w:t xml:space="preserve"> 2015.</w:t>
            </w:r>
          </w:p>
        </w:tc>
      </w:tr>
      <w:tr w:rsidR="00606212" w:rsidRPr="00392F54" w:rsidTr="00304F57">
        <w:trPr>
          <w:trHeight w:val="890"/>
        </w:trPr>
        <w:tc>
          <w:tcPr>
            <w:tcW w:w="13788" w:type="dxa"/>
            <w:gridSpan w:val="5"/>
            <w:tcBorders>
              <w:left w:val="nil"/>
              <w:right w:val="nil"/>
            </w:tcBorders>
          </w:tcPr>
          <w:p w:rsidR="00606212" w:rsidRDefault="00606212" w:rsidP="00EB60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606212" w:rsidRDefault="00606212" w:rsidP="00EB6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06212" w:rsidRDefault="00606212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06212" w:rsidRDefault="00606212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</w:p>
          <w:p w:rsidR="00606212" w:rsidRPr="00392F54" w:rsidRDefault="00606212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40F56" w:rsidRPr="00392F54" w:rsidTr="00EB6014">
        <w:trPr>
          <w:trHeight w:val="8396"/>
        </w:trPr>
        <w:tc>
          <w:tcPr>
            <w:tcW w:w="3078" w:type="dxa"/>
          </w:tcPr>
          <w:p w:rsidR="00740F56" w:rsidRPr="00392F54" w:rsidRDefault="00740F56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92. </w:t>
            </w: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tîrgului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locurilor de muncă pentru tineret</w:t>
            </w:r>
          </w:p>
          <w:p w:rsidR="00740F56" w:rsidRDefault="00740F56" w:rsidP="00EB6014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</w:t>
            </w: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Numărul de tineri angajați</w:t>
            </w:r>
          </w:p>
        </w:tc>
        <w:tc>
          <w:tcPr>
            <w:tcW w:w="5040" w:type="dxa"/>
            <w:gridSpan w:val="2"/>
          </w:tcPr>
          <w:p w:rsidR="00740F56" w:rsidRPr="00392F54" w:rsidRDefault="00740F56" w:rsidP="00EB6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28 mai 2015, sub egida Ministerului Muncii, Protecției Sociale și Familiei, Ministerului Tineretului și Sportului și a Ministerului Educației a fost desfășurată a V-a ediție a Forului meseriilor/ profesiilor, în cadrul căruia Agenția Națională pentru Ocuparea Forței de Muncă în comun cu ANOFM a mun. Chișinău a organizat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Tîrgul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locurilor de muncă pentru tineret. La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Tîrg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participat 65 agenți economici, care au pus la dispoziția solicitanților peste 1500 locuri de muncă vacante din diverse domenii de activitate: comerț, servicii, construcții, industria ușoară, industria alimentară, transport, tehnologii informaționale și comunicații, agricultură, administrație publică. </w:t>
            </w:r>
          </w:p>
          <w:p w:rsidR="00740F56" w:rsidRPr="00392F54" w:rsidRDefault="00740F56" w:rsidP="00EB6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durata evenimentului, persoanele aflate în căutarea unui loc de muncă au avut acces la baza de date a ANOFM, care a cuprins informația despre circa 8000 locuri vacante de pe întreg teritoriul Republicii Moldova, inclusiv circa 3000 din mun. Chișinău.</w:t>
            </w:r>
          </w:p>
          <w:p w:rsidR="00740F56" w:rsidRPr="00392F54" w:rsidRDefault="00740F56" w:rsidP="00EB6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asemenea, a fost organizat și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Tîrgul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on-line (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www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e-angajare.md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la care au participat 131 de companii, care au promovat peste 2400 oportunități de angajare în domeniile : comerț, tehnologii informaționale, management, inginerie, industrie ușoară, servicii etc.</w:t>
            </w:r>
          </w:p>
          <w:p w:rsidR="00831FC4" w:rsidRDefault="00740F56" w:rsidP="00EB6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Menționăm faptul, că mai mulți ani la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rînd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tradițional în luna mai se organizează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Tîrguri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ale locurilor de muncă pentru tineret și la nivel local</w:t>
            </w:r>
          </w:p>
          <w:p w:rsidR="00304F57" w:rsidRDefault="00304F57" w:rsidP="00EB6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tîrguri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parcursul anului 2015).</w:t>
            </w:r>
          </w:p>
        </w:tc>
        <w:tc>
          <w:tcPr>
            <w:tcW w:w="2610" w:type="dxa"/>
          </w:tcPr>
          <w:p w:rsidR="00740F56" w:rsidRDefault="00740F56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 rezultat al măsurilor întreprinse de Agenția Națională pentru Ocuparea Forței de Muncă de comun cu structurile sale teritoriale,  pe parcursul anului 2015  au fost plasate în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cîmpul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muncii – 6055 persoane, cu </w:t>
            </w: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vîrsta</w:t>
            </w:r>
            <w:proofErr w:type="spellEnd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cuprinsă între 16-29 ani.</w:t>
            </w:r>
          </w:p>
        </w:tc>
        <w:tc>
          <w:tcPr>
            <w:tcW w:w="3060" w:type="dxa"/>
          </w:tcPr>
          <w:p w:rsidR="00740F56" w:rsidRPr="00392F54" w:rsidRDefault="00740F56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www.anofm.md</w:t>
            </w:r>
            <w:proofErr w:type="spellEnd"/>
          </w:p>
        </w:tc>
      </w:tr>
      <w:tr w:rsidR="00E43B98" w:rsidRPr="00392F54" w:rsidTr="00EB6014">
        <w:trPr>
          <w:trHeight w:val="359"/>
        </w:trPr>
        <w:tc>
          <w:tcPr>
            <w:tcW w:w="13788" w:type="dxa"/>
            <w:gridSpan w:val="5"/>
          </w:tcPr>
          <w:p w:rsidR="00E43B98" w:rsidRPr="00392F54" w:rsidRDefault="00E43B98" w:rsidP="00EB6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92F5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R.3.2.2.</w:t>
            </w:r>
            <w:r w:rsidRPr="00392F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Ponderea tinerilor (15-29 ani) care au părăsit locul de muncă de la 25% în 2012 la 15% în 2020 diminuată</w:t>
            </w:r>
          </w:p>
        </w:tc>
      </w:tr>
      <w:tr w:rsidR="00EB6014" w:rsidRPr="00EB6014" w:rsidTr="00EB6014">
        <w:trPr>
          <w:trHeight w:val="1099"/>
        </w:trPr>
        <w:tc>
          <w:tcPr>
            <w:tcW w:w="47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B6014" w:rsidRPr="00EB6014" w:rsidRDefault="00EB6014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84A1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93</w:t>
            </w:r>
            <w:r w:rsidRPr="00EB60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Adoptarea politicilor de stimulare a angajării tinerilor absolvenți în </w:t>
            </w:r>
            <w:proofErr w:type="spellStart"/>
            <w:r w:rsidRPr="00EB60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cîmpul</w:t>
            </w:r>
            <w:proofErr w:type="spellEnd"/>
            <w:r w:rsidRPr="00EB60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muncii</w:t>
            </w:r>
          </w:p>
          <w:p w:rsidR="00EB6014" w:rsidRPr="00EB6014" w:rsidRDefault="00EB6014" w:rsidP="00EB60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21BA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Indicator</w:t>
            </w:r>
            <w:r w:rsidRPr="00EB60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 Numărul politicilor de stimulare a angajării tinerilor absolvenți adoptate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</w:tcPr>
          <w:p w:rsidR="00EB6014" w:rsidRPr="00EB6014" w:rsidRDefault="00794FA2" w:rsidP="00EB6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moment,  </w:t>
            </w:r>
            <w:r w:rsidR="00EB6014" w:rsidRPr="00EB60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Muncii,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B6014" w:rsidRPr="00EB60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Protecției Sociale și Familiei este în proces de modificare a legislației în domeniul ocupațional</w:t>
            </w:r>
            <w:r w:rsidR="004A7B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EB6014" w:rsidRPr="00EB60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 elaborarea  Proiectului de modificare a Legii cu privire la ocuparea forței de muncă și a unei noi Strategii de ocupare a forței de muncă pentru anii 2016-2020 , unde vor fi stipulate măsuri de stimulare ale angajării tinerilor.</w:t>
            </w:r>
          </w:p>
        </w:tc>
      </w:tr>
    </w:tbl>
    <w:p w:rsidR="00BB49B5" w:rsidRDefault="00BB49B5" w:rsidP="00D354C3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BB49B5" w:rsidSect="00304F57">
      <w:pgSz w:w="15840" w:h="12240" w:orient="landscape"/>
      <w:pgMar w:top="0" w:right="1134" w:bottom="27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68EF"/>
    <w:rsid w:val="000A5300"/>
    <w:rsid w:val="000C7ABC"/>
    <w:rsid w:val="00106E0F"/>
    <w:rsid w:val="002374CB"/>
    <w:rsid w:val="002448FB"/>
    <w:rsid w:val="00281A78"/>
    <w:rsid w:val="002D324E"/>
    <w:rsid w:val="00304F57"/>
    <w:rsid w:val="003052E7"/>
    <w:rsid w:val="00311621"/>
    <w:rsid w:val="003141D8"/>
    <w:rsid w:val="0031629A"/>
    <w:rsid w:val="00375BE4"/>
    <w:rsid w:val="00384A11"/>
    <w:rsid w:val="00390A56"/>
    <w:rsid w:val="00392F54"/>
    <w:rsid w:val="003A312C"/>
    <w:rsid w:val="003D2C62"/>
    <w:rsid w:val="003D55E1"/>
    <w:rsid w:val="004626A3"/>
    <w:rsid w:val="00495AEF"/>
    <w:rsid w:val="004968C1"/>
    <w:rsid w:val="004A7B17"/>
    <w:rsid w:val="004B348D"/>
    <w:rsid w:val="004D6EBA"/>
    <w:rsid w:val="004E6458"/>
    <w:rsid w:val="00516B02"/>
    <w:rsid w:val="0056743D"/>
    <w:rsid w:val="005B4C9A"/>
    <w:rsid w:val="005C2498"/>
    <w:rsid w:val="005C6995"/>
    <w:rsid w:val="005E5C96"/>
    <w:rsid w:val="00606212"/>
    <w:rsid w:val="006427E3"/>
    <w:rsid w:val="006D4275"/>
    <w:rsid w:val="00721BAE"/>
    <w:rsid w:val="00727EC1"/>
    <w:rsid w:val="00740F56"/>
    <w:rsid w:val="0075772D"/>
    <w:rsid w:val="00772790"/>
    <w:rsid w:val="00794FA2"/>
    <w:rsid w:val="007D21B2"/>
    <w:rsid w:val="007F605B"/>
    <w:rsid w:val="00831FC4"/>
    <w:rsid w:val="009041E1"/>
    <w:rsid w:val="009C49B2"/>
    <w:rsid w:val="00A23C69"/>
    <w:rsid w:val="00A56C15"/>
    <w:rsid w:val="00AE1C2E"/>
    <w:rsid w:val="00B02359"/>
    <w:rsid w:val="00BA669A"/>
    <w:rsid w:val="00BB49B5"/>
    <w:rsid w:val="00BB54F9"/>
    <w:rsid w:val="00BC30D2"/>
    <w:rsid w:val="00BD6AEF"/>
    <w:rsid w:val="00C0210A"/>
    <w:rsid w:val="00C21D09"/>
    <w:rsid w:val="00C53078"/>
    <w:rsid w:val="00C57CF4"/>
    <w:rsid w:val="00C752D5"/>
    <w:rsid w:val="00C922CC"/>
    <w:rsid w:val="00CB71AC"/>
    <w:rsid w:val="00CE06BF"/>
    <w:rsid w:val="00CF59DA"/>
    <w:rsid w:val="00D354C3"/>
    <w:rsid w:val="00DA4363"/>
    <w:rsid w:val="00E43B98"/>
    <w:rsid w:val="00EB6014"/>
    <w:rsid w:val="00EE46A8"/>
    <w:rsid w:val="00F85BA4"/>
    <w:rsid w:val="00F8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D6E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6A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nofm.md/%20Bibliotec&#259;%20/Compartimentu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5E909-10B3-45B6-91C9-656E9F1F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MMPSF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2016-02-16T12:40:00Z</cp:lastPrinted>
  <dcterms:created xsi:type="dcterms:W3CDTF">2016-02-15T06:27:00Z</dcterms:created>
  <dcterms:modified xsi:type="dcterms:W3CDTF">2016-02-16T14:46:00Z</dcterms:modified>
</cp:coreProperties>
</file>